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5AA8F" w14:textId="77777777" w:rsidR="00F56BAE" w:rsidRDefault="00F56BAE" w:rsidP="00F56BAE">
      <w:pPr>
        <w:rPr>
          <w:sz w:val="24"/>
          <w:szCs w:val="24"/>
          <w:lang w:val="en-US"/>
        </w:rPr>
      </w:pPr>
    </w:p>
    <w:p w14:paraId="5F1CD69C" w14:textId="77777777" w:rsidR="00F56BAE" w:rsidRPr="00F56BAE" w:rsidRDefault="00F56BAE" w:rsidP="00F56BAE">
      <w:pPr>
        <w:rPr>
          <w:vanish/>
          <w:sz w:val="24"/>
          <w:szCs w:val="24"/>
          <w:lang w:val="en-US"/>
        </w:rPr>
      </w:pPr>
      <w:bookmarkStart w:id="0" w:name="_GoBack"/>
      <w:bookmarkEnd w:id="0"/>
      <w:r w:rsidRPr="00F56BAE">
        <w:rPr>
          <w:vanish/>
          <w:sz w:val="24"/>
          <w:szCs w:val="24"/>
          <w:lang w:val="en-US"/>
        </w:rPr>
        <w:t>Page Image</w:t>
      </w:r>
    </w:p>
    <w:p w14:paraId="70621462" w14:textId="77777777" w:rsidR="00F56BAE" w:rsidRPr="00F56BAE" w:rsidRDefault="00F56BAE" w:rsidP="00F56BAE">
      <w:pPr>
        <w:rPr>
          <w:b/>
          <w:bCs/>
          <w:sz w:val="24"/>
          <w:szCs w:val="24"/>
        </w:rPr>
      </w:pPr>
      <w:r w:rsidRPr="00F56BAE">
        <w:rPr>
          <w:b/>
          <w:bCs/>
          <w:sz w:val="24"/>
          <w:szCs w:val="24"/>
        </w:rPr>
        <w:t>DACO EN COLABORACIÓN CON HACIENDA VELARÁ QUE SE CUMPLA LOS DÍAS SIN IVU EN ARTÍCULOS INCLUIDOS EN ENERO 4-5 DEL 2017</w:t>
      </w:r>
    </w:p>
    <w:p w14:paraId="7DB4DB26" w14:textId="77777777" w:rsidR="00F56BAE" w:rsidRPr="00F56BAE" w:rsidRDefault="00F56BAE" w:rsidP="00F56BAE">
      <w:pPr>
        <w:rPr>
          <w:b/>
          <w:bCs/>
          <w:sz w:val="24"/>
          <w:szCs w:val="24"/>
          <w:lang w:val="en-US"/>
        </w:rPr>
      </w:pPr>
      <w:r w:rsidRPr="00F56BAE">
        <w:rPr>
          <w:b/>
          <w:bCs/>
          <w:sz w:val="24"/>
          <w:szCs w:val="24"/>
        </w:rPr>
        <w:t>   </w:t>
      </w:r>
      <w:proofErr w:type="gramStart"/>
      <w:r w:rsidRPr="00F56BAE">
        <w:rPr>
          <w:b/>
          <w:bCs/>
          <w:sz w:val="24"/>
          <w:szCs w:val="24"/>
          <w:lang w:val="en-US"/>
        </w:rPr>
        <w:t>4 de</w:t>
      </w:r>
      <w:proofErr w:type="gramEnd"/>
      <w:r w:rsidRPr="00F56BAE">
        <w:rPr>
          <w:b/>
          <w:bCs/>
          <w:sz w:val="24"/>
          <w:szCs w:val="24"/>
          <w:lang w:val="en-US"/>
        </w:rPr>
        <w:t xml:space="preserve"> </w:t>
      </w:r>
      <w:proofErr w:type="spellStart"/>
      <w:r w:rsidRPr="00F56BAE">
        <w:rPr>
          <w:b/>
          <w:bCs/>
          <w:sz w:val="24"/>
          <w:szCs w:val="24"/>
          <w:lang w:val="en-US"/>
        </w:rPr>
        <w:t>enero</w:t>
      </w:r>
      <w:proofErr w:type="spellEnd"/>
      <w:r w:rsidRPr="00F56BAE">
        <w:rPr>
          <w:b/>
          <w:bCs/>
          <w:sz w:val="24"/>
          <w:szCs w:val="24"/>
          <w:lang w:val="en-US"/>
        </w:rPr>
        <w:t xml:space="preserve"> de 2017</w:t>
      </w:r>
    </w:p>
    <w:p w14:paraId="1E484235" w14:textId="77777777" w:rsidR="00F56BAE" w:rsidRPr="00F56BAE" w:rsidRDefault="00F56BAE" w:rsidP="00F56BAE">
      <w:pPr>
        <w:rPr>
          <w:vanish/>
          <w:sz w:val="24"/>
          <w:szCs w:val="24"/>
          <w:lang w:val="en-US"/>
        </w:rPr>
      </w:pPr>
      <w:r w:rsidRPr="00F56BAE">
        <w:rPr>
          <w:vanish/>
          <w:sz w:val="24"/>
          <w:szCs w:val="24"/>
          <w:lang w:val="en-US"/>
        </w:rPr>
        <w:t>URL Externo</w:t>
      </w:r>
    </w:p>
    <w:p w14:paraId="5520B967" w14:textId="77777777" w:rsidR="00F56BAE" w:rsidRPr="00F56BAE" w:rsidRDefault="00F56BAE" w:rsidP="00F56BAE">
      <w:pPr>
        <w:rPr>
          <w:vanish/>
          <w:sz w:val="24"/>
          <w:szCs w:val="24"/>
          <w:lang w:val="en-US"/>
        </w:rPr>
      </w:pPr>
      <w:r w:rsidRPr="00F56BAE">
        <w:rPr>
          <w:vanish/>
          <w:sz w:val="24"/>
          <w:szCs w:val="24"/>
          <w:lang w:val="en-US"/>
        </w:rPr>
        <w:t>Page Content</w:t>
      </w:r>
    </w:p>
    <w:p w14:paraId="63758F90" w14:textId="77777777" w:rsidR="00F56BAE" w:rsidRPr="00F56BAE" w:rsidRDefault="00F56BAE" w:rsidP="00F56BAE">
      <w:pPr>
        <w:rPr>
          <w:sz w:val="24"/>
          <w:szCs w:val="24"/>
        </w:rPr>
      </w:pPr>
      <w:r w:rsidRPr="00F56BAE">
        <w:rPr>
          <w:sz w:val="24"/>
          <w:szCs w:val="24"/>
        </w:rPr>
        <w:t xml:space="preserve">Periodo libre de Impuesto Sobre Ventas y Uso por regreso a la escuela para el año fiscal 2016-2017 </w:t>
      </w:r>
    </w:p>
    <w:p w14:paraId="30117DC7" w14:textId="77777777" w:rsidR="00F56BAE" w:rsidRPr="00F56BAE" w:rsidRDefault="00F56BAE" w:rsidP="00F56BAE">
      <w:pPr>
        <w:rPr>
          <w:sz w:val="24"/>
          <w:szCs w:val="24"/>
        </w:rPr>
      </w:pPr>
      <w:r w:rsidRPr="00F56BAE">
        <w:rPr>
          <w:sz w:val="24"/>
          <w:szCs w:val="24"/>
        </w:rPr>
        <w:t> </w:t>
      </w:r>
    </w:p>
    <w:p w14:paraId="2A12F570" w14:textId="77777777" w:rsidR="00F56BAE" w:rsidRPr="00F56BAE" w:rsidRDefault="00F56BAE" w:rsidP="00F56BAE">
      <w:pPr>
        <w:rPr>
          <w:sz w:val="24"/>
          <w:szCs w:val="24"/>
        </w:rPr>
      </w:pPr>
      <w:r w:rsidRPr="00F56BAE">
        <w:rPr>
          <w:b/>
          <w:bCs/>
          <w:sz w:val="24"/>
          <w:szCs w:val="24"/>
        </w:rPr>
        <w:t>I.  Exposición de Motivos</w:t>
      </w:r>
    </w:p>
    <w:p w14:paraId="345EA1BB" w14:textId="77777777" w:rsidR="00F56BAE" w:rsidRPr="00F56BAE" w:rsidRDefault="00F56BAE" w:rsidP="00F56BAE">
      <w:pPr>
        <w:rPr>
          <w:sz w:val="24"/>
          <w:szCs w:val="24"/>
        </w:rPr>
      </w:pPr>
      <w:r w:rsidRPr="00F56BAE">
        <w:rPr>
          <w:sz w:val="24"/>
          <w:szCs w:val="24"/>
        </w:rPr>
        <w:t xml:space="preserve">La Sección 4030.20(b) del Código de Rentas Internas de Puerto Rico de 2011, según enmendado (el "Código"), exime los uniformes y materiales escolares, según allí definidos, del pago del Impuesto sobre Ventas y Uso (“IVU”) durante un periodo de dos (2) días en el mes de julio y dos (2) días en el mes de </w:t>
      </w:r>
      <w:proofErr w:type="gramStart"/>
      <w:r w:rsidRPr="00F56BAE">
        <w:rPr>
          <w:sz w:val="24"/>
          <w:szCs w:val="24"/>
        </w:rPr>
        <w:t>enero.[</w:t>
      </w:r>
      <w:proofErr w:type="gramEnd"/>
      <w:r w:rsidRPr="00F56BAE">
        <w:rPr>
          <w:sz w:val="24"/>
          <w:szCs w:val="24"/>
        </w:rPr>
        <w:t>R1] </w:t>
      </w:r>
    </w:p>
    <w:p w14:paraId="2D6F46D2" w14:textId="77777777" w:rsidR="00F56BAE" w:rsidRPr="00F56BAE" w:rsidRDefault="00F56BAE" w:rsidP="00F56BAE">
      <w:pPr>
        <w:rPr>
          <w:sz w:val="24"/>
          <w:szCs w:val="24"/>
        </w:rPr>
      </w:pPr>
      <w:r w:rsidRPr="00F56BAE">
        <w:rPr>
          <w:sz w:val="24"/>
          <w:szCs w:val="24"/>
        </w:rPr>
        <w:t>A tenor con la Sección 4030.20(b) del Código, el Secretario de Hacienda emitirá cada año fiscal una Carta Circular en la cual especificará el referido periodo de dos (2) días en el mes de julio y dos (2) días en el mes de enero en que aplicará la referida exención.  En aquellos años para los cuales no se emita dicha Carta Circular, se entenderá que el periodo al cual se refiere esa Sección comenzará a las 12:01 am del 12 de julio y concluirá a las doce de la medianoche del 13 de julio de cada año y el correspondiente al periodo de enero comenzará a las 12:01 am del 10 de enero y concluirá a las doce de la medianoche del 11 de enero de cada año.</w:t>
      </w:r>
    </w:p>
    <w:p w14:paraId="20FCAF7F" w14:textId="77777777" w:rsidR="00F56BAE" w:rsidRPr="00F56BAE" w:rsidRDefault="00F56BAE" w:rsidP="00F56BAE">
      <w:pPr>
        <w:rPr>
          <w:sz w:val="24"/>
          <w:szCs w:val="24"/>
        </w:rPr>
      </w:pPr>
      <w:r w:rsidRPr="00F56BAE">
        <w:rPr>
          <w:sz w:val="24"/>
          <w:szCs w:val="24"/>
        </w:rPr>
        <w:t>Esta Carta Circular tiene como propósito establecer: (i) el periodo libre de impuesto de uniformes y materiales escolares para el año fiscal 2016-2017, y (ii) los artículos que estarán exentos del impuesto durante este periodo.</w:t>
      </w:r>
    </w:p>
    <w:p w14:paraId="18E56060" w14:textId="77777777" w:rsidR="00F56BAE" w:rsidRPr="00F56BAE" w:rsidRDefault="00F56BAE" w:rsidP="00F56BAE">
      <w:pPr>
        <w:rPr>
          <w:sz w:val="24"/>
          <w:szCs w:val="24"/>
        </w:rPr>
      </w:pPr>
      <w:r w:rsidRPr="00F56BAE">
        <w:rPr>
          <w:b/>
          <w:bCs/>
          <w:sz w:val="24"/>
          <w:szCs w:val="24"/>
        </w:rPr>
        <w:t>II. Determinación</w:t>
      </w:r>
    </w:p>
    <w:p w14:paraId="32AEF00F" w14:textId="77777777" w:rsidR="00F56BAE" w:rsidRPr="00F56BAE" w:rsidRDefault="00F56BAE" w:rsidP="00F56BAE">
      <w:pPr>
        <w:rPr>
          <w:sz w:val="24"/>
          <w:szCs w:val="24"/>
        </w:rPr>
      </w:pPr>
      <w:r w:rsidRPr="00F56BAE">
        <w:rPr>
          <w:b/>
          <w:bCs/>
          <w:sz w:val="24"/>
          <w:szCs w:val="24"/>
        </w:rPr>
        <w:t>A.   Exención del pago de IVU para uniformes y materiales escolares:</w:t>
      </w:r>
    </w:p>
    <w:p w14:paraId="7C3C373A" w14:textId="77777777" w:rsidR="00F56BAE" w:rsidRPr="00F56BAE" w:rsidRDefault="00F56BAE" w:rsidP="00F56BAE">
      <w:pPr>
        <w:rPr>
          <w:sz w:val="24"/>
          <w:szCs w:val="24"/>
        </w:rPr>
      </w:pPr>
      <w:r w:rsidRPr="00F56BAE">
        <w:rPr>
          <w:sz w:val="24"/>
          <w:szCs w:val="24"/>
        </w:rPr>
        <w:t>Los dos periodos de venta de uniformes y materiales escolares libre del pago de IVU para el año fiscal 2016-2017, serán los siguientes:</w:t>
      </w:r>
    </w:p>
    <w:p w14:paraId="2D1FACB9" w14:textId="77777777" w:rsidR="00F56BAE" w:rsidRPr="00F56BAE" w:rsidRDefault="00F56BAE" w:rsidP="00F56BAE">
      <w:pPr>
        <w:numPr>
          <w:ilvl w:val="0"/>
          <w:numId w:val="2"/>
        </w:numPr>
        <w:rPr>
          <w:sz w:val="24"/>
          <w:szCs w:val="24"/>
        </w:rPr>
      </w:pPr>
      <w:r w:rsidRPr="00F56BAE">
        <w:rPr>
          <w:sz w:val="24"/>
          <w:szCs w:val="24"/>
        </w:rPr>
        <w:t>El primer periodo comenzará a las 12:01 a.m. del viernes, 15 de julio de 2016 y concluirá a las doce de la medianoche del sábado, 16 de julio de 2016.</w:t>
      </w:r>
    </w:p>
    <w:p w14:paraId="33320A67" w14:textId="77777777" w:rsidR="00F56BAE" w:rsidRPr="00F56BAE" w:rsidRDefault="00F56BAE" w:rsidP="00F56BAE">
      <w:pPr>
        <w:numPr>
          <w:ilvl w:val="0"/>
          <w:numId w:val="2"/>
        </w:numPr>
        <w:rPr>
          <w:sz w:val="24"/>
          <w:szCs w:val="24"/>
        </w:rPr>
      </w:pPr>
      <w:r w:rsidRPr="00F56BAE">
        <w:rPr>
          <w:sz w:val="24"/>
          <w:szCs w:val="24"/>
        </w:rPr>
        <w:t xml:space="preserve">El segundo periodo comenzará a las 12:01 a.m. del miércoles, 4 de enero de 2017 [SMOO2] y concluirá a las doce de la medianoche del jueves, 5 de enero de </w:t>
      </w:r>
      <w:proofErr w:type="gramStart"/>
      <w:r w:rsidRPr="00F56BAE">
        <w:rPr>
          <w:sz w:val="24"/>
          <w:szCs w:val="24"/>
        </w:rPr>
        <w:t>2017.[</w:t>
      </w:r>
      <w:proofErr w:type="gramEnd"/>
      <w:r w:rsidRPr="00F56BAE">
        <w:rPr>
          <w:sz w:val="24"/>
          <w:szCs w:val="24"/>
        </w:rPr>
        <w:t>R3] </w:t>
      </w:r>
    </w:p>
    <w:p w14:paraId="21C5D90D" w14:textId="77777777" w:rsidR="00F56BAE" w:rsidRPr="00F56BAE" w:rsidRDefault="00F56BAE" w:rsidP="00F56BAE">
      <w:pPr>
        <w:rPr>
          <w:sz w:val="24"/>
          <w:szCs w:val="24"/>
        </w:rPr>
      </w:pPr>
      <w:r w:rsidRPr="00F56BAE">
        <w:rPr>
          <w:sz w:val="24"/>
          <w:szCs w:val="24"/>
        </w:rPr>
        <w:t xml:space="preserve">Los artículos que estarán exentos durante este periodo, se </w:t>
      </w:r>
      <w:proofErr w:type="spellStart"/>
      <w:r w:rsidRPr="00F56BAE">
        <w:rPr>
          <w:sz w:val="24"/>
          <w:szCs w:val="24"/>
        </w:rPr>
        <w:t>Iimitarán</w:t>
      </w:r>
      <w:proofErr w:type="spellEnd"/>
      <w:r w:rsidRPr="00F56BAE">
        <w:rPr>
          <w:sz w:val="24"/>
          <w:szCs w:val="24"/>
        </w:rPr>
        <w:t xml:space="preserve"> únicamente a uniformes y materiales escolares.</w:t>
      </w:r>
      <w:r>
        <w:rPr>
          <w:sz w:val="24"/>
          <w:szCs w:val="24"/>
        </w:rPr>
        <w:br/>
      </w:r>
      <w:r>
        <w:rPr>
          <w:sz w:val="24"/>
          <w:szCs w:val="24"/>
        </w:rPr>
        <w:lastRenderedPageBreak/>
        <w:br/>
      </w:r>
    </w:p>
    <w:p w14:paraId="3E249413" w14:textId="77777777" w:rsidR="00F56BAE" w:rsidRPr="00F56BAE" w:rsidRDefault="00F56BAE" w:rsidP="00F56BAE">
      <w:pPr>
        <w:rPr>
          <w:sz w:val="24"/>
          <w:szCs w:val="24"/>
        </w:rPr>
      </w:pPr>
      <w:r w:rsidRPr="00F56BAE">
        <w:rPr>
          <w:b/>
          <w:bCs/>
          <w:sz w:val="24"/>
          <w:szCs w:val="24"/>
        </w:rPr>
        <w:t>1.  Uniformes Escolares</w:t>
      </w:r>
    </w:p>
    <w:p w14:paraId="1C517A44" w14:textId="77777777" w:rsidR="00F56BAE" w:rsidRPr="00F56BAE" w:rsidRDefault="00F56BAE" w:rsidP="00F56BAE">
      <w:pPr>
        <w:rPr>
          <w:sz w:val="24"/>
          <w:szCs w:val="24"/>
        </w:rPr>
      </w:pPr>
      <w:r w:rsidRPr="00F56BAE">
        <w:rPr>
          <w:sz w:val="24"/>
          <w:szCs w:val="24"/>
        </w:rPr>
        <w:t>Según lo dispuesto en la Sección 4030.20(c)(1) del Código, el término uniforme escolar significa aquel vestuario que está específicamente requerido por la institución educativa para ser utilizado por los estudiantes de la misma, y que no puede tener un uso general o continuo fuera de la escuela para sustituir ropa ordinaria.  Además, se considera uniforme escolar aquellas piezas de ropa y calzado que complemente una o más piezas del uniforme, según específicamente requerido por la entidad educativa.</w:t>
      </w:r>
    </w:p>
    <w:p w14:paraId="7CCC429D" w14:textId="77777777" w:rsidR="00F56BAE" w:rsidRPr="00F56BAE" w:rsidRDefault="00F56BAE" w:rsidP="00F56BAE">
      <w:pPr>
        <w:rPr>
          <w:sz w:val="24"/>
          <w:szCs w:val="24"/>
        </w:rPr>
      </w:pPr>
      <w:r w:rsidRPr="00F56BAE">
        <w:rPr>
          <w:sz w:val="24"/>
          <w:szCs w:val="24"/>
        </w:rPr>
        <w:t>El término uniforme escolar NO incluye:</w:t>
      </w:r>
    </w:p>
    <w:p w14:paraId="43247EEA" w14:textId="77777777" w:rsidR="00F56BAE" w:rsidRPr="00F56BAE" w:rsidRDefault="00F56BAE" w:rsidP="00F56BAE">
      <w:pPr>
        <w:numPr>
          <w:ilvl w:val="0"/>
          <w:numId w:val="3"/>
        </w:numPr>
        <w:rPr>
          <w:sz w:val="24"/>
          <w:szCs w:val="24"/>
        </w:rPr>
      </w:pPr>
      <w:r w:rsidRPr="00F56BAE">
        <w:rPr>
          <w:sz w:val="24"/>
          <w:szCs w:val="24"/>
        </w:rPr>
        <w:t>Hebillas de correa vendidas por separado.</w:t>
      </w:r>
    </w:p>
    <w:p w14:paraId="6A25B6D7" w14:textId="77777777" w:rsidR="00F56BAE" w:rsidRPr="00F56BAE" w:rsidRDefault="00F56BAE" w:rsidP="00F56BAE">
      <w:pPr>
        <w:numPr>
          <w:ilvl w:val="0"/>
          <w:numId w:val="3"/>
        </w:numPr>
        <w:rPr>
          <w:sz w:val="24"/>
          <w:szCs w:val="24"/>
        </w:rPr>
      </w:pPr>
      <w:r w:rsidRPr="00F56BAE">
        <w:rPr>
          <w:sz w:val="24"/>
          <w:szCs w:val="24"/>
        </w:rPr>
        <w:t>Máscaras de disfraz vendidas por separado.</w:t>
      </w:r>
    </w:p>
    <w:p w14:paraId="43E43C28" w14:textId="77777777" w:rsidR="00F56BAE" w:rsidRPr="00F56BAE" w:rsidRDefault="00F56BAE" w:rsidP="00F56BAE">
      <w:pPr>
        <w:numPr>
          <w:ilvl w:val="0"/>
          <w:numId w:val="3"/>
        </w:numPr>
        <w:rPr>
          <w:sz w:val="24"/>
          <w:szCs w:val="24"/>
        </w:rPr>
      </w:pPr>
      <w:r w:rsidRPr="00F56BAE">
        <w:rPr>
          <w:sz w:val="24"/>
          <w:szCs w:val="24"/>
        </w:rPr>
        <w:t>Parches y emblemas vendidos por separado, excepto si fueran parte de un uniforme escolar.</w:t>
      </w:r>
    </w:p>
    <w:p w14:paraId="25E4B382" w14:textId="77777777" w:rsidR="00F56BAE" w:rsidRPr="00F56BAE" w:rsidRDefault="00F56BAE" w:rsidP="00F56BAE">
      <w:pPr>
        <w:numPr>
          <w:ilvl w:val="0"/>
          <w:numId w:val="3"/>
        </w:numPr>
        <w:rPr>
          <w:sz w:val="24"/>
          <w:szCs w:val="24"/>
        </w:rPr>
      </w:pPr>
      <w:r w:rsidRPr="00F56BAE">
        <w:rPr>
          <w:sz w:val="24"/>
          <w:szCs w:val="24"/>
        </w:rPr>
        <w:t>Equipo y artículos de coser, incluyendo, pero sin limitarse a, agujas de tejer, patrones, alfileres, tijeras, máquinas de coser, agujas de coser, cintas métricas y dedales.</w:t>
      </w:r>
    </w:p>
    <w:p w14:paraId="51C7480F" w14:textId="77777777" w:rsidR="00F56BAE" w:rsidRPr="00F56BAE" w:rsidRDefault="00F56BAE" w:rsidP="00F56BAE">
      <w:pPr>
        <w:numPr>
          <w:ilvl w:val="0"/>
          <w:numId w:val="3"/>
        </w:numPr>
        <w:rPr>
          <w:sz w:val="24"/>
          <w:szCs w:val="24"/>
        </w:rPr>
      </w:pPr>
      <w:r w:rsidRPr="00F56BAE">
        <w:rPr>
          <w:sz w:val="24"/>
          <w:szCs w:val="24"/>
        </w:rPr>
        <w:t>Materiales de costura que son o se convierten en parte de ropa, incluyendo, pero sin limitarse a, botones, telas, encajes, hilo, estambre y cierres de cremallera.</w:t>
      </w:r>
    </w:p>
    <w:p w14:paraId="65244C60" w14:textId="77777777" w:rsidR="00F56BAE" w:rsidRPr="00F56BAE" w:rsidRDefault="00F56BAE" w:rsidP="00F56BAE">
      <w:pPr>
        <w:numPr>
          <w:ilvl w:val="0"/>
          <w:numId w:val="3"/>
        </w:numPr>
        <w:rPr>
          <w:sz w:val="24"/>
          <w:szCs w:val="24"/>
        </w:rPr>
      </w:pPr>
      <w:r w:rsidRPr="00F56BAE">
        <w:rPr>
          <w:sz w:val="24"/>
          <w:szCs w:val="24"/>
        </w:rPr>
        <w:t>Accesorios o equipo de ropa que constituyen artículos incidentales, usados sobre el cuerpo o en conjunto con la ropa.  Por ejemplo, maletines; cosméticos; artículos para el pelo, incluyendo, pero sin limitarse a pasadores para el pelo, lazos y redecillas; carteras de mano; pañuelos; joyería; gafas de sol no recetadas; sombrillas; billeteras; relojes; pelucas y postizos.</w:t>
      </w:r>
    </w:p>
    <w:p w14:paraId="3C92F26A" w14:textId="77777777" w:rsidR="00F56BAE" w:rsidRPr="00F56BAE" w:rsidRDefault="00F56BAE" w:rsidP="00F56BAE">
      <w:pPr>
        <w:numPr>
          <w:ilvl w:val="0"/>
          <w:numId w:val="3"/>
        </w:numPr>
        <w:rPr>
          <w:sz w:val="24"/>
          <w:szCs w:val="24"/>
        </w:rPr>
      </w:pPr>
      <w:r w:rsidRPr="00F56BAE">
        <w:rPr>
          <w:sz w:val="24"/>
          <w:szCs w:val="24"/>
        </w:rPr>
        <w:t>Equipo protector para ser utilizado por personas y diseñado para la protección del usuario contra lesiones o enfermedades, o como protección contra daños o lesiones de otras personas o propiedad, pero no adecuado para el uso general. Por ejemplo: mascarillas de respiración protectoras; equipo y vestimenta de cuarto esterilizado; protectores de audición y oídos; caretas; cascos protectores; capacetes; respiradores de pintura o polvo; guantes de seguridad o protectores; gafas o “</w:t>
      </w:r>
      <w:proofErr w:type="spellStart"/>
      <w:r w:rsidRPr="00F56BAE">
        <w:rPr>
          <w:sz w:val="24"/>
          <w:szCs w:val="24"/>
        </w:rPr>
        <w:t>goggles</w:t>
      </w:r>
      <w:proofErr w:type="spellEnd"/>
      <w:r w:rsidRPr="00F56BAE">
        <w:rPr>
          <w:sz w:val="24"/>
          <w:szCs w:val="24"/>
        </w:rPr>
        <w:t>” de seguridad; cinturones de seguridad; cinturones de herramientas; y máscaras, cascos y guantes de soldador.</w:t>
      </w:r>
    </w:p>
    <w:p w14:paraId="6C6AA9CB" w14:textId="77777777" w:rsidR="00F56BAE" w:rsidRPr="00F56BAE" w:rsidRDefault="00F56BAE" w:rsidP="00F56BAE">
      <w:pPr>
        <w:numPr>
          <w:ilvl w:val="0"/>
          <w:numId w:val="3"/>
        </w:numPr>
        <w:rPr>
          <w:sz w:val="24"/>
          <w:szCs w:val="24"/>
        </w:rPr>
      </w:pPr>
      <w:r w:rsidRPr="00F56BAE">
        <w:rPr>
          <w:sz w:val="24"/>
          <w:szCs w:val="24"/>
        </w:rPr>
        <w:t xml:space="preserve">Equipo deportivo y recreativo, diseñado para uso humano y utilizado en conjunto o como parte de una actividad creativa o deportiva, que no son adecuados para uso general. Por ejemplo: zapatillas de ballet y zapatos de zapateo; calzado deportivo de </w:t>
      </w:r>
      <w:r w:rsidRPr="00F56BAE">
        <w:rPr>
          <w:sz w:val="24"/>
          <w:szCs w:val="24"/>
        </w:rPr>
        <w:lastRenderedPageBreak/>
        <w:t>ganchos o de suela acanalada; guantes, incluyendo, pero sin limitarse a, béisbol, boliche, boxeo, hockey y golf; gafas (“</w:t>
      </w:r>
      <w:proofErr w:type="spellStart"/>
      <w:r w:rsidRPr="00F56BAE">
        <w:rPr>
          <w:sz w:val="24"/>
          <w:szCs w:val="24"/>
        </w:rPr>
        <w:t>goggles</w:t>
      </w:r>
      <w:proofErr w:type="spellEnd"/>
      <w:r w:rsidRPr="00F56BAE">
        <w:rPr>
          <w:sz w:val="24"/>
          <w:szCs w:val="24"/>
        </w:rPr>
        <w:t>”); rodillera y protectores de codos y manos; chaleco salvavidas y chalecos; protectores bucales; patines de ruedas y de hielo; espinillera; hombreras; botas de esquiar; botas altas impermeables; y traje de neopreno (“</w:t>
      </w:r>
      <w:proofErr w:type="spellStart"/>
      <w:r w:rsidRPr="00F56BAE">
        <w:rPr>
          <w:sz w:val="24"/>
          <w:szCs w:val="24"/>
        </w:rPr>
        <w:t>wetsuits</w:t>
      </w:r>
      <w:proofErr w:type="spellEnd"/>
      <w:r w:rsidRPr="00F56BAE">
        <w:rPr>
          <w:sz w:val="24"/>
          <w:szCs w:val="24"/>
        </w:rPr>
        <w:t>”) y aletas (“</w:t>
      </w:r>
      <w:proofErr w:type="spellStart"/>
      <w:r w:rsidRPr="00F56BAE">
        <w:rPr>
          <w:sz w:val="24"/>
          <w:szCs w:val="24"/>
        </w:rPr>
        <w:t>fins</w:t>
      </w:r>
      <w:proofErr w:type="spellEnd"/>
      <w:r w:rsidRPr="00F56BAE">
        <w:rPr>
          <w:sz w:val="24"/>
          <w:szCs w:val="24"/>
        </w:rPr>
        <w:t>").</w:t>
      </w:r>
    </w:p>
    <w:p w14:paraId="5300B00E" w14:textId="77777777" w:rsidR="00F56BAE" w:rsidRPr="00F56BAE" w:rsidRDefault="00F56BAE" w:rsidP="00F56BAE">
      <w:pPr>
        <w:rPr>
          <w:sz w:val="24"/>
          <w:szCs w:val="24"/>
        </w:rPr>
      </w:pPr>
      <w:r w:rsidRPr="00F56BAE">
        <w:rPr>
          <w:b/>
          <w:bCs/>
          <w:sz w:val="24"/>
          <w:szCs w:val="24"/>
        </w:rPr>
        <w:t>2.  Materiales Escolares</w:t>
      </w:r>
    </w:p>
    <w:p w14:paraId="5C6EE4B9" w14:textId="77777777" w:rsidR="00F56BAE" w:rsidRPr="00F56BAE" w:rsidRDefault="00F56BAE" w:rsidP="00F56BAE">
      <w:pPr>
        <w:rPr>
          <w:sz w:val="24"/>
          <w:szCs w:val="24"/>
        </w:rPr>
      </w:pPr>
      <w:r w:rsidRPr="00F56BAE">
        <w:rPr>
          <w:sz w:val="24"/>
          <w:szCs w:val="24"/>
        </w:rPr>
        <w:t>Según lo dispuesto en la Sección 4030.20(c)(2) del Código, estos incluyen materiales escolares, materiales escolares de arte, materiales escolares de música, materiales escolares instructivos comprados al detal, y medios de almacenaje en computadora ("</w:t>
      </w:r>
      <w:proofErr w:type="spellStart"/>
      <w:r w:rsidRPr="00F56BAE">
        <w:rPr>
          <w:sz w:val="24"/>
          <w:szCs w:val="24"/>
        </w:rPr>
        <w:t>storage</w:t>
      </w:r>
      <w:proofErr w:type="spellEnd"/>
      <w:r w:rsidRPr="00F56BAE">
        <w:rPr>
          <w:sz w:val="24"/>
          <w:szCs w:val="24"/>
        </w:rPr>
        <w:t xml:space="preserve"> media"), incluyendo discos, discos compactos y memorias ("flash drives").</w:t>
      </w:r>
    </w:p>
    <w:p w14:paraId="25496CAB" w14:textId="77777777" w:rsidR="00F56BAE" w:rsidRPr="00F56BAE" w:rsidRDefault="00F56BAE" w:rsidP="00F56BAE">
      <w:pPr>
        <w:rPr>
          <w:sz w:val="24"/>
          <w:szCs w:val="24"/>
        </w:rPr>
      </w:pPr>
      <w:r w:rsidRPr="00F56BAE">
        <w:rPr>
          <w:sz w:val="24"/>
          <w:szCs w:val="24"/>
        </w:rPr>
        <w:t>a.  Materiales escolares son artículos comúnmente utilizados por un estudiante en un curso de estudio. Estos son:</w:t>
      </w:r>
    </w:p>
    <w:p w14:paraId="0CDA9F56" w14:textId="77777777" w:rsidR="00F56BAE" w:rsidRPr="00F56BAE" w:rsidRDefault="00F56BAE" w:rsidP="00F56BAE">
      <w:pPr>
        <w:rPr>
          <w:sz w:val="24"/>
          <w:szCs w:val="24"/>
        </w:rPr>
      </w:pPr>
      <w:r w:rsidRPr="00F56BAE">
        <w:rPr>
          <w:sz w:val="24"/>
          <w:szCs w:val="24"/>
        </w:rPr>
        <w:t>                              i.    carpetas</w:t>
      </w:r>
    </w:p>
    <w:p w14:paraId="3A1F5719" w14:textId="77777777" w:rsidR="00F56BAE" w:rsidRPr="00F56BAE" w:rsidRDefault="00F56BAE" w:rsidP="00F56BAE">
      <w:pPr>
        <w:rPr>
          <w:sz w:val="24"/>
          <w:szCs w:val="24"/>
        </w:rPr>
      </w:pPr>
      <w:r w:rsidRPr="00F56BAE">
        <w:rPr>
          <w:sz w:val="24"/>
          <w:szCs w:val="24"/>
        </w:rPr>
        <w:t>                             ii.    bulto escolar</w:t>
      </w:r>
    </w:p>
    <w:p w14:paraId="5F5D1E0A" w14:textId="77777777" w:rsidR="00F56BAE" w:rsidRPr="00F56BAE" w:rsidRDefault="00F56BAE" w:rsidP="00F56BAE">
      <w:pPr>
        <w:rPr>
          <w:sz w:val="24"/>
          <w:szCs w:val="24"/>
        </w:rPr>
      </w:pPr>
      <w:r w:rsidRPr="00F56BAE">
        <w:rPr>
          <w:sz w:val="24"/>
          <w:szCs w:val="24"/>
        </w:rPr>
        <w:t>                            iii.    calculadora</w:t>
      </w:r>
    </w:p>
    <w:p w14:paraId="12565C2C" w14:textId="77777777" w:rsidR="00F56BAE" w:rsidRPr="00F56BAE" w:rsidRDefault="00F56BAE" w:rsidP="00F56BAE">
      <w:pPr>
        <w:rPr>
          <w:sz w:val="24"/>
          <w:szCs w:val="24"/>
        </w:rPr>
      </w:pPr>
      <w:r w:rsidRPr="00F56BAE">
        <w:rPr>
          <w:sz w:val="24"/>
          <w:szCs w:val="24"/>
        </w:rPr>
        <w:t>                           iv.    cinta adhesiva</w:t>
      </w:r>
    </w:p>
    <w:p w14:paraId="161AC51A" w14:textId="77777777" w:rsidR="00F56BAE" w:rsidRPr="00F56BAE" w:rsidRDefault="00F56BAE" w:rsidP="00F56BAE">
      <w:pPr>
        <w:rPr>
          <w:sz w:val="24"/>
          <w:szCs w:val="24"/>
        </w:rPr>
      </w:pPr>
      <w:r w:rsidRPr="00F56BAE">
        <w:rPr>
          <w:sz w:val="24"/>
          <w:szCs w:val="24"/>
        </w:rPr>
        <w:t>                            v.    tiza</w:t>
      </w:r>
    </w:p>
    <w:p w14:paraId="1C082401" w14:textId="77777777" w:rsidR="00F56BAE" w:rsidRPr="00F56BAE" w:rsidRDefault="00F56BAE" w:rsidP="00F56BAE">
      <w:pPr>
        <w:rPr>
          <w:sz w:val="24"/>
          <w:szCs w:val="24"/>
        </w:rPr>
      </w:pPr>
      <w:r w:rsidRPr="00F56BAE">
        <w:rPr>
          <w:sz w:val="24"/>
          <w:szCs w:val="24"/>
        </w:rPr>
        <w:t>                           vi.    compás</w:t>
      </w:r>
    </w:p>
    <w:p w14:paraId="7F59FE9F" w14:textId="77777777" w:rsidR="00F56BAE" w:rsidRPr="00F56BAE" w:rsidRDefault="00F56BAE" w:rsidP="00F56BAE">
      <w:pPr>
        <w:rPr>
          <w:sz w:val="24"/>
          <w:szCs w:val="24"/>
        </w:rPr>
      </w:pPr>
      <w:r w:rsidRPr="00F56BAE">
        <w:rPr>
          <w:sz w:val="24"/>
          <w:szCs w:val="24"/>
        </w:rPr>
        <w:t>                          vii.    crayolas</w:t>
      </w:r>
    </w:p>
    <w:p w14:paraId="3A8A05CF" w14:textId="77777777" w:rsidR="00F56BAE" w:rsidRPr="00F56BAE" w:rsidRDefault="00F56BAE" w:rsidP="00F56BAE">
      <w:pPr>
        <w:rPr>
          <w:sz w:val="24"/>
          <w:szCs w:val="24"/>
        </w:rPr>
      </w:pPr>
      <w:r w:rsidRPr="00F56BAE">
        <w:rPr>
          <w:sz w:val="24"/>
          <w:szCs w:val="24"/>
        </w:rPr>
        <w:t>                         viii.    gomas de borrar</w:t>
      </w:r>
    </w:p>
    <w:p w14:paraId="5C0DAD57" w14:textId="77777777" w:rsidR="00F56BAE" w:rsidRPr="00F56BAE" w:rsidRDefault="00F56BAE" w:rsidP="00F56BAE">
      <w:pPr>
        <w:rPr>
          <w:sz w:val="24"/>
          <w:szCs w:val="24"/>
        </w:rPr>
      </w:pPr>
      <w:r w:rsidRPr="00F56BAE">
        <w:rPr>
          <w:sz w:val="24"/>
          <w:szCs w:val="24"/>
        </w:rPr>
        <w:t>                           ix.    cartapacios; acordeones, expansibles, plásticos y sobres manila</w:t>
      </w:r>
    </w:p>
    <w:p w14:paraId="13BFC5F7" w14:textId="77777777" w:rsidR="00F56BAE" w:rsidRPr="00F56BAE" w:rsidRDefault="00F56BAE" w:rsidP="00F56BAE">
      <w:pPr>
        <w:rPr>
          <w:sz w:val="24"/>
          <w:szCs w:val="24"/>
        </w:rPr>
      </w:pPr>
      <w:r w:rsidRPr="00F56BAE">
        <w:rPr>
          <w:sz w:val="24"/>
          <w:szCs w:val="24"/>
        </w:rPr>
        <w:t>                            x.    pega, adhesivo y adhesivo en barra</w:t>
      </w:r>
    </w:p>
    <w:p w14:paraId="3F1A42A9" w14:textId="77777777" w:rsidR="00F56BAE" w:rsidRPr="00F56BAE" w:rsidRDefault="00F56BAE" w:rsidP="00F56BAE">
      <w:pPr>
        <w:rPr>
          <w:sz w:val="24"/>
          <w:szCs w:val="24"/>
        </w:rPr>
      </w:pPr>
      <w:r w:rsidRPr="00F56BAE">
        <w:rPr>
          <w:sz w:val="24"/>
          <w:szCs w:val="24"/>
        </w:rPr>
        <w:t>                           xi.    marcadores, incluyendo los fluorescentes</w:t>
      </w:r>
    </w:p>
    <w:p w14:paraId="6D7C347E" w14:textId="77777777" w:rsidR="00F56BAE" w:rsidRPr="00F56BAE" w:rsidRDefault="00F56BAE" w:rsidP="00F56BAE">
      <w:pPr>
        <w:rPr>
          <w:sz w:val="24"/>
          <w:szCs w:val="24"/>
        </w:rPr>
      </w:pPr>
      <w:r w:rsidRPr="00F56BAE">
        <w:rPr>
          <w:sz w:val="24"/>
          <w:szCs w:val="24"/>
        </w:rPr>
        <w:t>                          xii.    tarjetas de afiche ("</w:t>
      </w:r>
      <w:proofErr w:type="spellStart"/>
      <w:r w:rsidRPr="00F56BAE">
        <w:rPr>
          <w:sz w:val="24"/>
          <w:szCs w:val="24"/>
        </w:rPr>
        <w:t>index</w:t>
      </w:r>
      <w:proofErr w:type="spellEnd"/>
      <w:r w:rsidRPr="00F56BAE">
        <w:rPr>
          <w:sz w:val="24"/>
          <w:szCs w:val="24"/>
        </w:rPr>
        <w:t xml:space="preserve"> </w:t>
      </w:r>
      <w:proofErr w:type="spellStart"/>
      <w:r w:rsidRPr="00F56BAE">
        <w:rPr>
          <w:sz w:val="24"/>
          <w:szCs w:val="24"/>
        </w:rPr>
        <w:t>cards</w:t>
      </w:r>
      <w:proofErr w:type="spellEnd"/>
      <w:r w:rsidRPr="00F56BAE">
        <w:rPr>
          <w:sz w:val="24"/>
          <w:szCs w:val="24"/>
        </w:rPr>
        <w:t>")</w:t>
      </w:r>
    </w:p>
    <w:p w14:paraId="50F6C394" w14:textId="77777777" w:rsidR="00F56BAE" w:rsidRPr="00F56BAE" w:rsidRDefault="00F56BAE" w:rsidP="00F56BAE">
      <w:pPr>
        <w:rPr>
          <w:sz w:val="24"/>
          <w:szCs w:val="24"/>
        </w:rPr>
      </w:pPr>
      <w:r w:rsidRPr="00F56BAE">
        <w:rPr>
          <w:sz w:val="24"/>
          <w:szCs w:val="24"/>
        </w:rPr>
        <w:t>                         xiii.    cajas para almacenar las tarjetas de afiche</w:t>
      </w:r>
    </w:p>
    <w:p w14:paraId="25B9DDB5" w14:textId="77777777" w:rsidR="00F56BAE" w:rsidRPr="00F56BAE" w:rsidRDefault="00F56BAE" w:rsidP="00F56BAE">
      <w:pPr>
        <w:rPr>
          <w:sz w:val="24"/>
          <w:szCs w:val="24"/>
        </w:rPr>
      </w:pPr>
      <w:r w:rsidRPr="00F56BAE">
        <w:rPr>
          <w:sz w:val="24"/>
          <w:szCs w:val="24"/>
        </w:rPr>
        <w:t>                         xiv.    Loncheras</w:t>
      </w:r>
    </w:p>
    <w:p w14:paraId="667B3388" w14:textId="77777777" w:rsidR="00F56BAE" w:rsidRPr="00F56BAE" w:rsidRDefault="00F56BAE" w:rsidP="00F56BAE">
      <w:pPr>
        <w:rPr>
          <w:sz w:val="24"/>
          <w:szCs w:val="24"/>
        </w:rPr>
      </w:pPr>
      <w:r w:rsidRPr="00F56BAE">
        <w:rPr>
          <w:sz w:val="24"/>
          <w:szCs w:val="24"/>
        </w:rPr>
        <w:t>                          xv.    marcadores</w:t>
      </w:r>
    </w:p>
    <w:p w14:paraId="1F74CCE3" w14:textId="77777777" w:rsidR="00F56BAE" w:rsidRPr="00F56BAE" w:rsidRDefault="00F56BAE" w:rsidP="00F56BAE">
      <w:pPr>
        <w:rPr>
          <w:sz w:val="24"/>
          <w:szCs w:val="24"/>
        </w:rPr>
      </w:pPr>
      <w:r w:rsidRPr="00F56BAE">
        <w:rPr>
          <w:sz w:val="24"/>
          <w:szCs w:val="24"/>
        </w:rPr>
        <w:t>                         xvi.    papel suelto, papel con líneas para libreta de argollas, papel para copias, papel cuadriculado, papel de calcar, papel manilo, papel de color, cartulina y papel de construcción</w:t>
      </w:r>
    </w:p>
    <w:p w14:paraId="5EE4EA31" w14:textId="77777777" w:rsidR="00F56BAE" w:rsidRPr="00F56BAE" w:rsidRDefault="00F56BAE" w:rsidP="00F56BAE">
      <w:pPr>
        <w:rPr>
          <w:sz w:val="24"/>
          <w:szCs w:val="24"/>
        </w:rPr>
      </w:pPr>
      <w:r w:rsidRPr="00F56BAE">
        <w:rPr>
          <w:sz w:val="24"/>
          <w:szCs w:val="24"/>
        </w:rPr>
        <w:lastRenderedPageBreak/>
        <w:t>                        xvii.    cajas de lápices y otras cajas de materiales escolares</w:t>
      </w:r>
    </w:p>
    <w:p w14:paraId="0EF94FD1" w14:textId="77777777" w:rsidR="00F56BAE" w:rsidRPr="00F56BAE" w:rsidRDefault="00F56BAE" w:rsidP="00F56BAE">
      <w:pPr>
        <w:rPr>
          <w:sz w:val="24"/>
          <w:szCs w:val="24"/>
        </w:rPr>
      </w:pPr>
      <w:r w:rsidRPr="00F56BAE">
        <w:rPr>
          <w:sz w:val="24"/>
          <w:szCs w:val="24"/>
        </w:rPr>
        <w:t>                       xviii.    sacapuntas</w:t>
      </w:r>
    </w:p>
    <w:p w14:paraId="0D77BBA0" w14:textId="77777777" w:rsidR="00F56BAE" w:rsidRPr="00F56BAE" w:rsidRDefault="00F56BAE" w:rsidP="00F56BAE">
      <w:pPr>
        <w:rPr>
          <w:sz w:val="24"/>
          <w:szCs w:val="24"/>
        </w:rPr>
      </w:pPr>
      <w:r w:rsidRPr="00F56BAE">
        <w:rPr>
          <w:sz w:val="24"/>
          <w:szCs w:val="24"/>
        </w:rPr>
        <w:t>                         xix.    lápices</w:t>
      </w:r>
    </w:p>
    <w:p w14:paraId="4565B387" w14:textId="77777777" w:rsidR="00F56BAE" w:rsidRPr="00F56BAE" w:rsidRDefault="00F56BAE" w:rsidP="00F56BAE">
      <w:pPr>
        <w:rPr>
          <w:sz w:val="24"/>
          <w:szCs w:val="24"/>
        </w:rPr>
      </w:pPr>
      <w:r w:rsidRPr="00F56BAE">
        <w:rPr>
          <w:sz w:val="24"/>
          <w:szCs w:val="24"/>
        </w:rPr>
        <w:t>                          xx.    bolígrafos</w:t>
      </w:r>
    </w:p>
    <w:p w14:paraId="69A52A0B" w14:textId="77777777" w:rsidR="00F56BAE" w:rsidRPr="00F56BAE" w:rsidRDefault="00F56BAE" w:rsidP="00F56BAE">
      <w:pPr>
        <w:rPr>
          <w:sz w:val="24"/>
          <w:szCs w:val="24"/>
        </w:rPr>
      </w:pPr>
      <w:r w:rsidRPr="00F56BAE">
        <w:rPr>
          <w:sz w:val="24"/>
          <w:szCs w:val="24"/>
        </w:rPr>
        <w:t>                         xxi.    transportadores (“</w:t>
      </w:r>
      <w:proofErr w:type="spellStart"/>
      <w:r w:rsidRPr="00F56BAE">
        <w:rPr>
          <w:sz w:val="24"/>
          <w:szCs w:val="24"/>
        </w:rPr>
        <w:t>protractors</w:t>
      </w:r>
      <w:proofErr w:type="spellEnd"/>
      <w:r w:rsidRPr="00F56BAE">
        <w:rPr>
          <w:sz w:val="24"/>
          <w:szCs w:val="24"/>
        </w:rPr>
        <w:t>”)</w:t>
      </w:r>
    </w:p>
    <w:p w14:paraId="004AC656" w14:textId="77777777" w:rsidR="00F56BAE" w:rsidRPr="00F56BAE" w:rsidRDefault="00F56BAE" w:rsidP="00F56BAE">
      <w:pPr>
        <w:rPr>
          <w:sz w:val="24"/>
          <w:szCs w:val="24"/>
        </w:rPr>
      </w:pPr>
      <w:r w:rsidRPr="00F56BAE">
        <w:rPr>
          <w:sz w:val="24"/>
          <w:szCs w:val="24"/>
        </w:rPr>
        <w:t>                        xxii.    reglas</w:t>
      </w:r>
    </w:p>
    <w:p w14:paraId="4FA778A7" w14:textId="77777777" w:rsidR="00F56BAE" w:rsidRPr="00F56BAE" w:rsidRDefault="00F56BAE" w:rsidP="00F56BAE">
      <w:pPr>
        <w:rPr>
          <w:sz w:val="24"/>
          <w:szCs w:val="24"/>
        </w:rPr>
      </w:pPr>
      <w:r w:rsidRPr="00F56BAE">
        <w:rPr>
          <w:sz w:val="24"/>
          <w:szCs w:val="24"/>
        </w:rPr>
        <w:t>                       xxiii.    tijeras</w:t>
      </w:r>
    </w:p>
    <w:p w14:paraId="66CC8D56" w14:textId="77777777" w:rsidR="00F56BAE" w:rsidRPr="00F56BAE" w:rsidRDefault="00F56BAE" w:rsidP="00F56BAE">
      <w:pPr>
        <w:rPr>
          <w:sz w:val="24"/>
          <w:szCs w:val="24"/>
        </w:rPr>
      </w:pPr>
      <w:r w:rsidRPr="00F56BAE">
        <w:rPr>
          <w:sz w:val="24"/>
          <w:szCs w:val="24"/>
        </w:rPr>
        <w:t> </w:t>
      </w:r>
    </w:p>
    <w:p w14:paraId="50570F55" w14:textId="77777777" w:rsidR="00F56BAE" w:rsidRPr="00F56BAE" w:rsidRDefault="00F56BAE" w:rsidP="00F56BAE">
      <w:pPr>
        <w:rPr>
          <w:sz w:val="24"/>
          <w:szCs w:val="24"/>
        </w:rPr>
      </w:pPr>
      <w:r w:rsidRPr="00F56BAE">
        <w:rPr>
          <w:sz w:val="24"/>
          <w:szCs w:val="24"/>
        </w:rPr>
        <w:t>b.    Materiales escolares de arte o de música y materiales escolares instructivos, son artículos usualmente utilizados por un estudiante en un curso de estudio para arte o música, o en un curso de estudio como una referencia y para aprender la asignatura que está siendo enseñada.</w:t>
      </w:r>
    </w:p>
    <w:p w14:paraId="36F409B8" w14:textId="77777777" w:rsidR="00F56BAE" w:rsidRPr="00F56BAE" w:rsidRDefault="00F56BAE" w:rsidP="00F56BAE">
      <w:pPr>
        <w:rPr>
          <w:sz w:val="24"/>
          <w:szCs w:val="24"/>
        </w:rPr>
      </w:pPr>
      <w:r w:rsidRPr="00F56BAE">
        <w:rPr>
          <w:sz w:val="24"/>
          <w:szCs w:val="24"/>
        </w:rPr>
        <w:t> </w:t>
      </w:r>
    </w:p>
    <w:p w14:paraId="4B25A984" w14:textId="77777777" w:rsidR="00F56BAE" w:rsidRPr="00F56BAE" w:rsidRDefault="00F56BAE" w:rsidP="00F56BAE">
      <w:pPr>
        <w:rPr>
          <w:sz w:val="24"/>
          <w:szCs w:val="24"/>
        </w:rPr>
      </w:pPr>
      <w:r w:rsidRPr="00F56BAE">
        <w:rPr>
          <w:sz w:val="24"/>
          <w:szCs w:val="24"/>
        </w:rPr>
        <w:t>Éstos son: </w:t>
      </w:r>
    </w:p>
    <w:p w14:paraId="7EE50657" w14:textId="77777777" w:rsidR="00F56BAE" w:rsidRPr="00F56BAE" w:rsidRDefault="00F56BAE" w:rsidP="00F56BAE">
      <w:pPr>
        <w:rPr>
          <w:sz w:val="24"/>
          <w:szCs w:val="24"/>
        </w:rPr>
      </w:pPr>
      <w:r w:rsidRPr="00F56BAE">
        <w:rPr>
          <w:sz w:val="24"/>
          <w:szCs w:val="24"/>
        </w:rPr>
        <w:t>                              i.    barro y esmaltes</w:t>
      </w:r>
    </w:p>
    <w:p w14:paraId="33312C32" w14:textId="77777777" w:rsidR="00F56BAE" w:rsidRPr="00F56BAE" w:rsidRDefault="00F56BAE" w:rsidP="00F56BAE">
      <w:pPr>
        <w:rPr>
          <w:sz w:val="24"/>
          <w:szCs w:val="24"/>
        </w:rPr>
      </w:pPr>
      <w:r w:rsidRPr="00F56BAE">
        <w:rPr>
          <w:sz w:val="24"/>
          <w:szCs w:val="24"/>
        </w:rPr>
        <w:t>                             ii.    pinturas, incluyendo acrílicos, de témpera y de aceite</w:t>
      </w:r>
    </w:p>
    <w:p w14:paraId="007945EC" w14:textId="77777777" w:rsidR="00F56BAE" w:rsidRPr="00F56BAE" w:rsidRDefault="00F56BAE" w:rsidP="00F56BAE">
      <w:pPr>
        <w:rPr>
          <w:sz w:val="24"/>
          <w:szCs w:val="24"/>
        </w:rPr>
      </w:pPr>
      <w:r w:rsidRPr="00F56BAE">
        <w:rPr>
          <w:sz w:val="24"/>
          <w:szCs w:val="24"/>
        </w:rPr>
        <w:t>                            iii.    brochas para trabajo de arte</w:t>
      </w:r>
    </w:p>
    <w:p w14:paraId="477C1459" w14:textId="77777777" w:rsidR="00F56BAE" w:rsidRPr="00F56BAE" w:rsidRDefault="00F56BAE" w:rsidP="00F56BAE">
      <w:pPr>
        <w:rPr>
          <w:sz w:val="24"/>
          <w:szCs w:val="24"/>
        </w:rPr>
      </w:pPr>
      <w:r w:rsidRPr="00F56BAE">
        <w:rPr>
          <w:sz w:val="24"/>
          <w:szCs w:val="24"/>
        </w:rPr>
        <w:t>                           iv.    libretas de dibujo y de bosquejos</w:t>
      </w:r>
    </w:p>
    <w:p w14:paraId="7E257B36" w14:textId="77777777" w:rsidR="00F56BAE" w:rsidRPr="00F56BAE" w:rsidRDefault="00F56BAE" w:rsidP="00F56BAE">
      <w:pPr>
        <w:rPr>
          <w:sz w:val="24"/>
          <w:szCs w:val="24"/>
        </w:rPr>
      </w:pPr>
      <w:r w:rsidRPr="00F56BAE">
        <w:rPr>
          <w:sz w:val="24"/>
          <w:szCs w:val="24"/>
        </w:rPr>
        <w:t>                            v.    acuarelas</w:t>
      </w:r>
    </w:p>
    <w:p w14:paraId="7EF4CCF6" w14:textId="77777777" w:rsidR="00F56BAE" w:rsidRPr="00F56BAE" w:rsidRDefault="00F56BAE" w:rsidP="00F56BAE">
      <w:pPr>
        <w:rPr>
          <w:sz w:val="24"/>
          <w:szCs w:val="24"/>
        </w:rPr>
      </w:pPr>
      <w:r w:rsidRPr="00F56BAE">
        <w:rPr>
          <w:sz w:val="24"/>
          <w:szCs w:val="24"/>
        </w:rPr>
        <w:t>                           vi.    instrumentos musicales</w:t>
      </w:r>
    </w:p>
    <w:p w14:paraId="1067ED6F" w14:textId="77777777" w:rsidR="00F56BAE" w:rsidRPr="00F56BAE" w:rsidRDefault="00F56BAE" w:rsidP="00F56BAE">
      <w:pPr>
        <w:rPr>
          <w:sz w:val="24"/>
          <w:szCs w:val="24"/>
        </w:rPr>
      </w:pPr>
      <w:r w:rsidRPr="00F56BAE">
        <w:rPr>
          <w:sz w:val="24"/>
          <w:szCs w:val="24"/>
        </w:rPr>
        <w:t>                          vii.    mapas y globo terráqueo de referencia</w:t>
      </w:r>
    </w:p>
    <w:p w14:paraId="7E0C7CBC" w14:textId="77777777" w:rsidR="00F56BAE" w:rsidRPr="00F56BAE" w:rsidRDefault="00F56BAE" w:rsidP="00F56BAE">
      <w:pPr>
        <w:rPr>
          <w:sz w:val="24"/>
          <w:szCs w:val="24"/>
        </w:rPr>
      </w:pPr>
      <w:r w:rsidRPr="00F56BAE">
        <w:rPr>
          <w:b/>
          <w:bCs/>
          <w:sz w:val="24"/>
          <w:szCs w:val="24"/>
        </w:rPr>
        <w:t>B.   Exención del pago de IVU en la venta de Libros Impresos</w:t>
      </w:r>
    </w:p>
    <w:p w14:paraId="401A2817" w14:textId="77777777" w:rsidR="00F56BAE" w:rsidRPr="00F56BAE" w:rsidRDefault="00F56BAE" w:rsidP="00F56BAE">
      <w:pPr>
        <w:rPr>
          <w:sz w:val="24"/>
          <w:szCs w:val="24"/>
        </w:rPr>
      </w:pPr>
      <w:r w:rsidRPr="00F56BAE">
        <w:rPr>
          <w:sz w:val="24"/>
          <w:szCs w:val="24"/>
        </w:rPr>
        <w:t>Están exentos del pago del IVU, durante todo el año, todo</w:t>
      </w:r>
      <w:r>
        <w:rPr>
          <w:sz w:val="24"/>
          <w:szCs w:val="24"/>
        </w:rPr>
        <w:t>s</w:t>
      </w:r>
      <w:r w:rsidRPr="00F56BAE">
        <w:rPr>
          <w:sz w:val="24"/>
          <w:szCs w:val="24"/>
        </w:rPr>
        <w:t xml:space="preserve"> los libros impresos. Según dispone la Sección 4030.20(a) del Código, el término libros impresos significa toda publicación unitaria impresa, no periódica, que se edite de una sola vez o a intervalos, en uno o varios volúmenes o fascículos de carácter científico, cultural o artístico, excluyéndose publicaciones por medios electrónicos, revistas y periódicos.</w:t>
      </w:r>
    </w:p>
    <w:p w14:paraId="4680D47E" w14:textId="77777777" w:rsidR="00F56BAE" w:rsidRPr="00F56BAE" w:rsidRDefault="00F56BAE" w:rsidP="00F56BAE">
      <w:pPr>
        <w:rPr>
          <w:sz w:val="24"/>
          <w:szCs w:val="24"/>
        </w:rPr>
      </w:pPr>
      <w:r w:rsidRPr="00F56BAE">
        <w:rPr>
          <w:b/>
          <w:bCs/>
          <w:sz w:val="24"/>
          <w:szCs w:val="24"/>
        </w:rPr>
        <w:t xml:space="preserve">C.   Ventas bajo planes a plazo (“Lay </w:t>
      </w:r>
      <w:proofErr w:type="spellStart"/>
      <w:r w:rsidRPr="00F56BAE">
        <w:rPr>
          <w:b/>
          <w:bCs/>
          <w:sz w:val="24"/>
          <w:szCs w:val="24"/>
        </w:rPr>
        <w:t>Away</w:t>
      </w:r>
      <w:proofErr w:type="spellEnd"/>
      <w:r w:rsidRPr="00F56BAE">
        <w:rPr>
          <w:b/>
          <w:bCs/>
          <w:sz w:val="24"/>
          <w:szCs w:val="24"/>
        </w:rPr>
        <w:t>”)</w:t>
      </w:r>
    </w:p>
    <w:p w14:paraId="5764D351" w14:textId="77777777" w:rsidR="00F56BAE" w:rsidRPr="00F56BAE" w:rsidRDefault="00F56BAE" w:rsidP="00F56BAE">
      <w:pPr>
        <w:rPr>
          <w:sz w:val="24"/>
          <w:szCs w:val="24"/>
        </w:rPr>
      </w:pPr>
      <w:r w:rsidRPr="00F56BAE">
        <w:rPr>
          <w:sz w:val="24"/>
          <w:szCs w:val="24"/>
        </w:rPr>
        <w:t xml:space="preserve">La venta bajo planes a plazo de uniformes o materiales escolares calificará para la exención del pago del IVU, cuando el pago final bajo el plan a plazos es efectuado y el artículo es entregado </w:t>
      </w:r>
      <w:r w:rsidRPr="00F56BAE">
        <w:rPr>
          <w:sz w:val="24"/>
          <w:szCs w:val="24"/>
        </w:rPr>
        <w:lastRenderedPageBreak/>
        <w:t>al comprador durante el periodo de exención; o cuando el título del artículo se transfiere al comprador y la entrega es efectuada al comprador durante el periodo de exención. Una venta efectuada mediante la transferencia de título después del periodo de exención, no califica para la exención.</w:t>
      </w:r>
    </w:p>
    <w:p w14:paraId="520BB9B2" w14:textId="77777777" w:rsidR="00F56BAE" w:rsidRPr="00F56BAE" w:rsidRDefault="00F56BAE" w:rsidP="00F56BAE">
      <w:pPr>
        <w:rPr>
          <w:sz w:val="24"/>
          <w:szCs w:val="24"/>
        </w:rPr>
      </w:pPr>
      <w:r w:rsidRPr="00F56BAE">
        <w:rPr>
          <w:b/>
          <w:bCs/>
          <w:sz w:val="24"/>
          <w:szCs w:val="24"/>
        </w:rPr>
        <w:t xml:space="preserve">D.   Vales (“Rain </w:t>
      </w:r>
      <w:proofErr w:type="spellStart"/>
      <w:r w:rsidRPr="00F56BAE">
        <w:rPr>
          <w:b/>
          <w:bCs/>
          <w:sz w:val="24"/>
          <w:szCs w:val="24"/>
        </w:rPr>
        <w:t>Checks</w:t>
      </w:r>
      <w:proofErr w:type="spellEnd"/>
      <w:r w:rsidRPr="00F56BAE">
        <w:rPr>
          <w:b/>
          <w:bCs/>
          <w:sz w:val="24"/>
          <w:szCs w:val="24"/>
        </w:rPr>
        <w:t>”)</w:t>
      </w:r>
    </w:p>
    <w:p w14:paraId="26DFB164" w14:textId="77777777" w:rsidR="00F56BAE" w:rsidRPr="00F56BAE" w:rsidRDefault="00F56BAE" w:rsidP="00F56BAE">
      <w:pPr>
        <w:rPr>
          <w:sz w:val="24"/>
          <w:szCs w:val="24"/>
        </w:rPr>
      </w:pPr>
      <w:r w:rsidRPr="00F56BAE">
        <w:rPr>
          <w:sz w:val="24"/>
          <w:szCs w:val="24"/>
        </w:rPr>
        <w:t>Un vale le permite al cliente comprar un artículo a cierto precio en una fecha futura, debido a que el mismo se agotó.  Los artículos comprados durante el periodo de exención con el usó de un vale calificarán para la exención, independientemente de cuándo se emitió el vale.  Sin embargo, la emisión de un vale durante el periodo de exención no calificará un artículo para la exención si el artículo es realmente comprado después del período de exención.</w:t>
      </w:r>
    </w:p>
    <w:p w14:paraId="6EA506FE" w14:textId="77777777" w:rsidR="00F56BAE" w:rsidRPr="00F56BAE" w:rsidRDefault="00F56BAE" w:rsidP="00F56BAE">
      <w:pPr>
        <w:rPr>
          <w:sz w:val="24"/>
          <w:szCs w:val="24"/>
        </w:rPr>
      </w:pPr>
      <w:r w:rsidRPr="00F56BAE">
        <w:rPr>
          <w:b/>
          <w:bCs/>
          <w:sz w:val="24"/>
          <w:szCs w:val="24"/>
        </w:rPr>
        <w:t>E.   Compras por correspondencia, teléfono, correo electrónico o Interne</w:t>
      </w:r>
      <w:r w:rsidRPr="00F56BAE">
        <w:rPr>
          <w:sz w:val="24"/>
          <w:szCs w:val="24"/>
        </w:rPr>
        <w:t>t.</w:t>
      </w:r>
    </w:p>
    <w:p w14:paraId="4C0A2AEB" w14:textId="77777777" w:rsidR="00F56BAE" w:rsidRPr="00F56BAE" w:rsidRDefault="00F56BAE" w:rsidP="00F56BAE">
      <w:pPr>
        <w:rPr>
          <w:sz w:val="24"/>
          <w:szCs w:val="24"/>
        </w:rPr>
      </w:pPr>
      <w:r w:rsidRPr="00F56BAE">
        <w:rPr>
          <w:sz w:val="24"/>
          <w:szCs w:val="24"/>
        </w:rPr>
        <w:t>Cuando un artículo se compra a través del correo, por teléfono, correo electrónico o internet, la compra calificará para la exención cuando el artículo es pagado por y entregado al comprador durante el periodo de exención; o cuando el título del artículo se transfiere al comprador y la entrega se efectúa al comprador durante el periodo de exención.  Por lo tanto, los artículos que son pre-ordenados y entregados al comprador durante el período de exención, califican para la exención.</w:t>
      </w:r>
    </w:p>
    <w:p w14:paraId="3D1D61E6" w14:textId="77777777" w:rsidR="00F56BAE" w:rsidRPr="00F56BAE" w:rsidRDefault="00F56BAE" w:rsidP="00F56BAE">
      <w:pPr>
        <w:rPr>
          <w:sz w:val="24"/>
          <w:szCs w:val="24"/>
        </w:rPr>
      </w:pPr>
      <w:r w:rsidRPr="00F56BAE">
        <w:rPr>
          <w:b/>
          <w:bCs/>
          <w:sz w:val="24"/>
          <w:szCs w:val="24"/>
        </w:rPr>
        <w:t>F.   Certificados y Tarjetas de Regalo</w:t>
      </w:r>
    </w:p>
    <w:p w14:paraId="2B4176F1" w14:textId="77777777" w:rsidR="00F56BAE" w:rsidRPr="00F56BAE" w:rsidRDefault="00F56BAE" w:rsidP="00F56BAE">
      <w:pPr>
        <w:rPr>
          <w:sz w:val="24"/>
          <w:szCs w:val="24"/>
        </w:rPr>
      </w:pPr>
      <w:r w:rsidRPr="00F56BAE">
        <w:rPr>
          <w:sz w:val="24"/>
          <w:szCs w:val="24"/>
        </w:rPr>
        <w:t>Los artículos que califican para la exención, comprados durante el periodo de exención utilizando un certificado o tarjeta de regalo calificarán para la exención independientemente de cuándo se compró el certificado de regalo o tarjeta de regalo. Los artículos comprados después del período de exención utilizando un certificado de regalo o tarjeta de regalo, son tributables aún si el certificado de regalo o tarjeta de regalo se compró durante el período de exención.</w:t>
      </w:r>
    </w:p>
    <w:p w14:paraId="097CD2D9" w14:textId="77777777" w:rsidR="00F56BAE" w:rsidRPr="00F56BAE" w:rsidRDefault="00F56BAE" w:rsidP="00F56BAE">
      <w:pPr>
        <w:rPr>
          <w:sz w:val="24"/>
          <w:szCs w:val="24"/>
        </w:rPr>
      </w:pPr>
      <w:r w:rsidRPr="00F56BAE">
        <w:rPr>
          <w:sz w:val="24"/>
          <w:szCs w:val="24"/>
        </w:rPr>
        <w:t xml:space="preserve">Para más información relacionada con las disposiciones sobre ventas bajo planes a plazo ("lay </w:t>
      </w:r>
      <w:proofErr w:type="spellStart"/>
      <w:r w:rsidRPr="00F56BAE">
        <w:rPr>
          <w:sz w:val="24"/>
          <w:szCs w:val="24"/>
        </w:rPr>
        <w:t>away</w:t>
      </w:r>
      <w:proofErr w:type="spellEnd"/>
      <w:r w:rsidRPr="00F56BAE">
        <w:rPr>
          <w:sz w:val="24"/>
          <w:szCs w:val="24"/>
        </w:rPr>
        <w:t xml:space="preserve">”), vales ("rain </w:t>
      </w:r>
      <w:proofErr w:type="spellStart"/>
      <w:r w:rsidRPr="00F56BAE">
        <w:rPr>
          <w:sz w:val="24"/>
          <w:szCs w:val="24"/>
        </w:rPr>
        <w:t>checks</w:t>
      </w:r>
      <w:proofErr w:type="spellEnd"/>
      <w:r w:rsidRPr="00F56BAE">
        <w:rPr>
          <w:sz w:val="24"/>
          <w:szCs w:val="24"/>
        </w:rPr>
        <w:t>"), compras por correspondencia, teléfono, correo electrónico o Internet, certificados y tarjetas de regalo, devoluciones y otros detalles, favor referirse a la Sección 4030.20 del Código.</w:t>
      </w:r>
    </w:p>
    <w:p w14:paraId="14B17366" w14:textId="77777777" w:rsidR="00F56BAE" w:rsidRPr="00F56BAE" w:rsidRDefault="00F56BAE" w:rsidP="00F56BAE">
      <w:pPr>
        <w:rPr>
          <w:sz w:val="24"/>
          <w:szCs w:val="24"/>
        </w:rPr>
      </w:pPr>
      <w:r w:rsidRPr="00F56BAE">
        <w:rPr>
          <w:b/>
          <w:bCs/>
          <w:sz w:val="24"/>
          <w:szCs w:val="24"/>
        </w:rPr>
        <w:t>III. Vigencia</w:t>
      </w:r>
    </w:p>
    <w:p w14:paraId="76A4DC1B" w14:textId="77777777" w:rsidR="00F56BAE" w:rsidRPr="00F56BAE" w:rsidRDefault="00F56BAE" w:rsidP="00F56BAE">
      <w:pPr>
        <w:rPr>
          <w:sz w:val="24"/>
          <w:szCs w:val="24"/>
        </w:rPr>
      </w:pPr>
      <w:r w:rsidRPr="00F56BAE">
        <w:rPr>
          <w:sz w:val="24"/>
          <w:szCs w:val="24"/>
        </w:rPr>
        <w:t>Las disposiciones de esta Carta Circular tienen vigencia inmediata.</w:t>
      </w:r>
    </w:p>
    <w:p w14:paraId="2D9CDFA9" w14:textId="77777777" w:rsidR="004A2893" w:rsidRPr="00F56BAE" w:rsidRDefault="00F56BAE">
      <w:pPr>
        <w:rPr>
          <w:sz w:val="24"/>
          <w:szCs w:val="24"/>
        </w:rPr>
      </w:pPr>
      <w:r w:rsidRPr="00F56BAE">
        <w:rPr>
          <w:sz w:val="24"/>
          <w:szCs w:val="24"/>
        </w:rPr>
        <w:t>Para información adicional relacionada a las disposiciones de esta Carta Circular, puede comunicarse al (787) 722-0216, opción 8.</w:t>
      </w:r>
    </w:p>
    <w:sectPr w:rsidR="004A2893" w:rsidRPr="00F56B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81D5" w14:textId="77777777" w:rsidR="00F56BAE" w:rsidRDefault="00F56BAE" w:rsidP="00F56BAE">
      <w:pPr>
        <w:spacing w:after="0" w:line="240" w:lineRule="auto"/>
      </w:pPr>
      <w:r>
        <w:separator/>
      </w:r>
    </w:p>
  </w:endnote>
  <w:endnote w:type="continuationSeparator" w:id="0">
    <w:p w14:paraId="418159C6" w14:textId="77777777" w:rsidR="00F56BAE" w:rsidRDefault="00F56BAE" w:rsidP="00F5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F6F3" w14:textId="77777777" w:rsidR="00F56BAE" w:rsidRDefault="00F56BAE" w:rsidP="00F56BAE">
      <w:pPr>
        <w:spacing w:after="0" w:line="240" w:lineRule="auto"/>
      </w:pPr>
      <w:r>
        <w:separator/>
      </w:r>
    </w:p>
  </w:footnote>
  <w:footnote w:type="continuationSeparator" w:id="0">
    <w:p w14:paraId="2AD6605F" w14:textId="77777777" w:rsidR="00F56BAE" w:rsidRDefault="00F56BAE" w:rsidP="00F5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059F" w14:textId="77777777" w:rsidR="00F56BAE" w:rsidRDefault="00F56BAE">
    <w:pPr>
      <w:pStyle w:val="Header"/>
    </w:pPr>
    <w:r>
      <w:rPr>
        <w:noProof/>
        <w:lang w:eastAsia="es-PR"/>
      </w:rPr>
      <w:drawing>
        <wp:inline distT="0" distB="0" distL="0" distR="0" wp14:anchorId="56B0BADC" wp14:editId="54FD7AC3">
          <wp:extent cx="2600325"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ficial Gobierno Pudrto Rico 2.png"/>
                  <pic:cNvPicPr/>
                </pic:nvPicPr>
                <pic:blipFill>
                  <a:blip r:embed="rId1">
                    <a:extLst>
                      <a:ext uri="{28A0092B-C50C-407E-A947-70E740481C1C}">
                        <a14:useLocalDpi xmlns:a14="http://schemas.microsoft.com/office/drawing/2010/main" val="0"/>
                      </a:ext>
                    </a:extLst>
                  </a:blip>
                  <a:stretch>
                    <a:fillRect/>
                  </a:stretch>
                </pic:blipFill>
                <pic:spPr>
                  <a:xfrm>
                    <a:off x="0" y="0"/>
                    <a:ext cx="2631646" cy="607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0A7"/>
    <w:multiLevelType w:val="multilevel"/>
    <w:tmpl w:val="66A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71D72"/>
    <w:multiLevelType w:val="multilevel"/>
    <w:tmpl w:val="CA6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B5AFC"/>
    <w:multiLevelType w:val="multilevel"/>
    <w:tmpl w:val="6D0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AE"/>
    <w:rsid w:val="004A2893"/>
    <w:rsid w:val="00F56BA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D46A"/>
  <w15:chartTrackingRefBased/>
  <w15:docId w15:val="{927A2994-9D41-435A-8A00-1EB6CCD3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AE"/>
    <w:rPr>
      <w:color w:val="0563C1" w:themeColor="hyperlink"/>
      <w:u w:val="single"/>
    </w:rPr>
  </w:style>
  <w:style w:type="paragraph" w:styleId="Header">
    <w:name w:val="header"/>
    <w:basedOn w:val="Normal"/>
    <w:link w:val="HeaderChar"/>
    <w:uiPriority w:val="99"/>
    <w:unhideWhenUsed/>
    <w:rsid w:val="00F5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BAE"/>
  </w:style>
  <w:style w:type="paragraph" w:styleId="Footer">
    <w:name w:val="footer"/>
    <w:basedOn w:val="Normal"/>
    <w:link w:val="FooterChar"/>
    <w:uiPriority w:val="99"/>
    <w:unhideWhenUsed/>
    <w:rsid w:val="00F5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1703">
      <w:bodyDiv w:val="1"/>
      <w:marLeft w:val="0"/>
      <w:marRight w:val="0"/>
      <w:marTop w:val="0"/>
      <w:marBottom w:val="0"/>
      <w:divBdr>
        <w:top w:val="none" w:sz="0" w:space="0" w:color="auto"/>
        <w:left w:val="none" w:sz="0" w:space="0" w:color="auto"/>
        <w:bottom w:val="none" w:sz="0" w:space="0" w:color="auto"/>
        <w:right w:val="none" w:sz="0" w:space="0" w:color="auto"/>
      </w:divBdr>
      <w:divsChild>
        <w:div w:id="1274560780">
          <w:marLeft w:val="0"/>
          <w:marRight w:val="0"/>
          <w:marTop w:val="0"/>
          <w:marBottom w:val="0"/>
          <w:divBdr>
            <w:top w:val="none" w:sz="0" w:space="0" w:color="auto"/>
            <w:left w:val="none" w:sz="0" w:space="0" w:color="auto"/>
            <w:bottom w:val="none" w:sz="0" w:space="0" w:color="auto"/>
            <w:right w:val="none" w:sz="0" w:space="0" w:color="auto"/>
          </w:divBdr>
          <w:divsChild>
            <w:div w:id="634483535">
              <w:marLeft w:val="0"/>
              <w:marRight w:val="0"/>
              <w:marTop w:val="0"/>
              <w:marBottom w:val="0"/>
              <w:divBdr>
                <w:top w:val="none" w:sz="0" w:space="0" w:color="auto"/>
                <w:left w:val="none" w:sz="0" w:space="0" w:color="auto"/>
                <w:bottom w:val="none" w:sz="0" w:space="0" w:color="auto"/>
                <w:right w:val="none" w:sz="0" w:space="0" w:color="auto"/>
              </w:divBdr>
              <w:divsChild>
                <w:div w:id="320238334">
                  <w:marLeft w:val="0"/>
                  <w:marRight w:val="0"/>
                  <w:marTop w:val="0"/>
                  <w:marBottom w:val="0"/>
                  <w:divBdr>
                    <w:top w:val="none" w:sz="0" w:space="0" w:color="auto"/>
                    <w:left w:val="none" w:sz="0" w:space="0" w:color="auto"/>
                    <w:bottom w:val="none" w:sz="0" w:space="0" w:color="auto"/>
                    <w:right w:val="none" w:sz="0" w:space="0" w:color="auto"/>
                  </w:divBdr>
                  <w:divsChild>
                    <w:div w:id="1582638073">
                      <w:marLeft w:val="0"/>
                      <w:marRight w:val="0"/>
                      <w:marTop w:val="0"/>
                      <w:marBottom w:val="0"/>
                      <w:divBdr>
                        <w:top w:val="none" w:sz="0" w:space="0" w:color="auto"/>
                        <w:left w:val="none" w:sz="0" w:space="0" w:color="auto"/>
                        <w:bottom w:val="none" w:sz="0" w:space="0" w:color="auto"/>
                        <w:right w:val="none" w:sz="0" w:space="0" w:color="auto"/>
                      </w:divBdr>
                      <w:divsChild>
                        <w:div w:id="882449609">
                          <w:marLeft w:val="0"/>
                          <w:marRight w:val="0"/>
                          <w:marTop w:val="0"/>
                          <w:marBottom w:val="0"/>
                          <w:divBdr>
                            <w:top w:val="none" w:sz="0" w:space="0" w:color="auto"/>
                            <w:left w:val="none" w:sz="0" w:space="0" w:color="auto"/>
                            <w:bottom w:val="none" w:sz="0" w:space="0" w:color="auto"/>
                            <w:right w:val="none" w:sz="0" w:space="0" w:color="auto"/>
                          </w:divBdr>
                          <w:divsChild>
                            <w:div w:id="951280728">
                              <w:marLeft w:val="0"/>
                              <w:marRight w:val="0"/>
                              <w:marTop w:val="0"/>
                              <w:marBottom w:val="0"/>
                              <w:divBdr>
                                <w:top w:val="none" w:sz="0" w:space="0" w:color="auto"/>
                                <w:left w:val="none" w:sz="0" w:space="0" w:color="auto"/>
                                <w:bottom w:val="none" w:sz="0" w:space="0" w:color="auto"/>
                                <w:right w:val="none" w:sz="0" w:space="0" w:color="auto"/>
                              </w:divBdr>
                              <w:divsChild>
                                <w:div w:id="1840340817">
                                  <w:marLeft w:val="0"/>
                                  <w:marRight w:val="0"/>
                                  <w:marTop w:val="0"/>
                                  <w:marBottom w:val="0"/>
                                  <w:divBdr>
                                    <w:top w:val="none" w:sz="0" w:space="0" w:color="auto"/>
                                    <w:left w:val="none" w:sz="0" w:space="0" w:color="auto"/>
                                    <w:bottom w:val="none" w:sz="0" w:space="0" w:color="auto"/>
                                    <w:right w:val="none" w:sz="0" w:space="0" w:color="auto"/>
                                  </w:divBdr>
                                  <w:divsChild>
                                    <w:div w:id="755253152">
                                      <w:marLeft w:val="0"/>
                                      <w:marRight w:val="0"/>
                                      <w:marTop w:val="0"/>
                                      <w:marBottom w:val="0"/>
                                      <w:divBdr>
                                        <w:top w:val="none" w:sz="0" w:space="0" w:color="auto"/>
                                        <w:left w:val="none" w:sz="0" w:space="0" w:color="auto"/>
                                        <w:bottom w:val="none" w:sz="0" w:space="0" w:color="auto"/>
                                        <w:right w:val="none" w:sz="0" w:space="0" w:color="auto"/>
                                      </w:divBdr>
                                      <w:divsChild>
                                        <w:div w:id="1991248371">
                                          <w:marLeft w:val="0"/>
                                          <w:marRight w:val="0"/>
                                          <w:marTop w:val="0"/>
                                          <w:marBottom w:val="0"/>
                                          <w:divBdr>
                                            <w:top w:val="none" w:sz="0" w:space="0" w:color="auto"/>
                                            <w:left w:val="none" w:sz="0" w:space="0" w:color="auto"/>
                                            <w:bottom w:val="none" w:sz="0" w:space="0" w:color="auto"/>
                                            <w:right w:val="none" w:sz="0" w:space="0" w:color="auto"/>
                                          </w:divBdr>
                                          <w:divsChild>
                                            <w:div w:id="1519200755">
                                              <w:marLeft w:val="0"/>
                                              <w:marRight w:val="0"/>
                                              <w:marTop w:val="0"/>
                                              <w:marBottom w:val="0"/>
                                              <w:divBdr>
                                                <w:top w:val="none" w:sz="0" w:space="0" w:color="auto"/>
                                                <w:left w:val="none" w:sz="0" w:space="0" w:color="auto"/>
                                                <w:bottom w:val="none" w:sz="0" w:space="0" w:color="auto"/>
                                                <w:right w:val="none" w:sz="0" w:space="0" w:color="auto"/>
                                              </w:divBdr>
                                              <w:divsChild>
                                                <w:div w:id="604195631">
                                                  <w:marLeft w:val="0"/>
                                                  <w:marRight w:val="0"/>
                                                  <w:marTop w:val="0"/>
                                                  <w:marBottom w:val="0"/>
                                                  <w:divBdr>
                                                    <w:top w:val="none" w:sz="0" w:space="0" w:color="auto"/>
                                                    <w:left w:val="none" w:sz="0" w:space="0" w:color="auto"/>
                                                    <w:bottom w:val="none" w:sz="0" w:space="0" w:color="auto"/>
                                                    <w:right w:val="none" w:sz="0" w:space="0" w:color="auto"/>
                                                  </w:divBdr>
                                                  <w:divsChild>
                                                    <w:div w:id="1558320830">
                                                      <w:marLeft w:val="0"/>
                                                      <w:marRight w:val="0"/>
                                                      <w:marTop w:val="0"/>
                                                      <w:marBottom w:val="0"/>
                                                      <w:divBdr>
                                                        <w:top w:val="none" w:sz="0" w:space="0" w:color="auto"/>
                                                        <w:left w:val="none" w:sz="0" w:space="0" w:color="auto"/>
                                                        <w:bottom w:val="none" w:sz="0" w:space="0" w:color="auto"/>
                                                        <w:right w:val="none" w:sz="0" w:space="0" w:color="auto"/>
                                                      </w:divBdr>
                                                      <w:divsChild>
                                                        <w:div w:id="342319400">
                                                          <w:marLeft w:val="0"/>
                                                          <w:marRight w:val="0"/>
                                                          <w:marTop w:val="0"/>
                                                          <w:marBottom w:val="0"/>
                                                          <w:divBdr>
                                                            <w:top w:val="none" w:sz="0" w:space="0" w:color="auto"/>
                                                            <w:left w:val="none" w:sz="0" w:space="0" w:color="auto"/>
                                                            <w:bottom w:val="none" w:sz="0" w:space="0" w:color="auto"/>
                                                            <w:right w:val="none" w:sz="0" w:space="0" w:color="auto"/>
                                                          </w:divBdr>
                                                          <w:divsChild>
                                                            <w:div w:id="2108383002">
                                                              <w:marLeft w:val="0"/>
                                                              <w:marRight w:val="0"/>
                                                              <w:marTop w:val="0"/>
                                                              <w:marBottom w:val="0"/>
                                                              <w:divBdr>
                                                                <w:top w:val="none" w:sz="0" w:space="0" w:color="auto"/>
                                                                <w:left w:val="none" w:sz="0" w:space="0" w:color="auto"/>
                                                                <w:bottom w:val="none" w:sz="0" w:space="0" w:color="auto"/>
                                                                <w:right w:val="none" w:sz="0" w:space="0" w:color="auto"/>
                                                              </w:divBdr>
                                                              <w:divsChild>
                                                                <w:div w:id="681974999">
                                                                  <w:marLeft w:val="0"/>
                                                                  <w:marRight w:val="0"/>
                                                                  <w:marTop w:val="0"/>
                                                                  <w:marBottom w:val="0"/>
                                                                  <w:divBdr>
                                                                    <w:top w:val="none" w:sz="0" w:space="0" w:color="auto"/>
                                                                    <w:left w:val="none" w:sz="0" w:space="0" w:color="auto"/>
                                                                    <w:bottom w:val="none" w:sz="0" w:space="0" w:color="auto"/>
                                                                    <w:right w:val="none" w:sz="0" w:space="0" w:color="auto"/>
                                                                  </w:divBdr>
                                                                  <w:divsChild>
                                                                    <w:div w:id="2079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6745">
                                                      <w:marLeft w:val="0"/>
                                                      <w:marRight w:val="0"/>
                                                      <w:marTop w:val="0"/>
                                                      <w:marBottom w:val="0"/>
                                                      <w:divBdr>
                                                        <w:top w:val="none" w:sz="0" w:space="0" w:color="auto"/>
                                                        <w:left w:val="none" w:sz="0" w:space="0" w:color="auto"/>
                                                        <w:bottom w:val="none" w:sz="0" w:space="0" w:color="auto"/>
                                                        <w:right w:val="none" w:sz="0" w:space="0" w:color="auto"/>
                                                      </w:divBdr>
                                                    </w:div>
                                                    <w:div w:id="506871281">
                                                      <w:marLeft w:val="0"/>
                                                      <w:marRight w:val="0"/>
                                                      <w:marTop w:val="0"/>
                                                      <w:marBottom w:val="0"/>
                                                      <w:divBdr>
                                                        <w:top w:val="none" w:sz="0" w:space="0" w:color="auto"/>
                                                        <w:left w:val="none" w:sz="0" w:space="0" w:color="auto"/>
                                                        <w:bottom w:val="none" w:sz="0" w:space="0" w:color="auto"/>
                                                        <w:right w:val="none" w:sz="0" w:space="0" w:color="auto"/>
                                                      </w:divBdr>
                                                    </w:div>
                                                    <w:div w:id="2001304912">
                                                      <w:marLeft w:val="0"/>
                                                      <w:marRight w:val="0"/>
                                                      <w:marTop w:val="0"/>
                                                      <w:marBottom w:val="0"/>
                                                      <w:divBdr>
                                                        <w:top w:val="none" w:sz="0" w:space="0" w:color="auto"/>
                                                        <w:left w:val="none" w:sz="0" w:space="0" w:color="auto"/>
                                                        <w:bottom w:val="none" w:sz="0" w:space="0" w:color="auto"/>
                                                        <w:right w:val="none" w:sz="0" w:space="0" w:color="auto"/>
                                                      </w:divBdr>
                                                      <w:divsChild>
                                                        <w:div w:id="1428697902">
                                                          <w:marLeft w:val="0"/>
                                                          <w:marRight w:val="0"/>
                                                          <w:marTop w:val="0"/>
                                                          <w:marBottom w:val="0"/>
                                                          <w:divBdr>
                                                            <w:top w:val="none" w:sz="0" w:space="0" w:color="auto"/>
                                                            <w:left w:val="none" w:sz="0" w:space="0" w:color="auto"/>
                                                            <w:bottom w:val="none" w:sz="0" w:space="0" w:color="auto"/>
                                                            <w:right w:val="none" w:sz="0" w:space="0" w:color="auto"/>
                                                          </w:divBdr>
                                                        </w:div>
                                                        <w:div w:id="1915042424">
                                                          <w:marLeft w:val="0"/>
                                                          <w:marRight w:val="0"/>
                                                          <w:marTop w:val="0"/>
                                                          <w:marBottom w:val="0"/>
                                                          <w:divBdr>
                                                            <w:top w:val="none" w:sz="0" w:space="0" w:color="auto"/>
                                                            <w:left w:val="none" w:sz="0" w:space="0" w:color="auto"/>
                                                            <w:bottom w:val="none" w:sz="0" w:space="0" w:color="auto"/>
                                                            <w:right w:val="none" w:sz="0" w:space="0" w:color="auto"/>
                                                          </w:divBdr>
                                                        </w:div>
                                                        <w:div w:id="20015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1624</Words>
  <Characters>8935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2018-07-19T02:52:00Z</dcterms:created>
  <dcterms:modified xsi:type="dcterms:W3CDTF">2018-07-19T02:55:00Z</dcterms:modified>
</cp:coreProperties>
</file>