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69" w:rsidRPr="001E2869" w:rsidRDefault="001E2869" w:rsidP="001E2869">
      <w:pPr>
        <w:shd w:val="clear" w:color="auto" w:fill="FFFFFF"/>
        <w:spacing w:before="146" w:after="146" w:line="585" w:lineRule="atLeast"/>
        <w:outlineLvl w:val="2"/>
        <w:rPr>
          <w:rFonts w:ascii="Helvetica" w:eastAsia="Times New Roman" w:hAnsi="Helvetica" w:cs="Helvetica"/>
          <w:b/>
          <w:bCs/>
          <w:caps/>
          <w:color w:val="F77249"/>
          <w:sz w:val="34"/>
          <w:szCs w:val="34"/>
          <w:lang w:val="en-US"/>
        </w:rPr>
      </w:pPr>
      <w:r w:rsidRPr="001E2869">
        <w:rPr>
          <w:rFonts w:ascii="Helvetica" w:eastAsia="Times New Roman" w:hAnsi="Helvetica" w:cs="Helvetica"/>
          <w:b/>
          <w:bCs/>
          <w:caps/>
          <w:color w:val="F77249"/>
          <w:sz w:val="34"/>
          <w:szCs w:val="34"/>
          <w:lang w:val="en-US"/>
        </w:rPr>
        <w:t>LEY SOBRE LA CALIDAD DEL CEMENTO PARA USO EN PUERTO RICO</w:t>
      </w:r>
    </w:p>
    <w:p w:rsidR="001E2869" w:rsidRPr="001E2869" w:rsidRDefault="001E2869" w:rsidP="001E2869">
      <w:pPr>
        <w:shd w:val="clear" w:color="auto" w:fill="FFFFFF"/>
        <w:spacing w:before="146" w:after="146" w:line="293" w:lineRule="atLeast"/>
        <w:outlineLvl w:val="3"/>
        <w:rPr>
          <w:rFonts w:ascii="Helvetica" w:eastAsia="Times New Roman" w:hAnsi="Helvetica" w:cs="Helvetica"/>
          <w:sz w:val="24"/>
          <w:szCs w:val="24"/>
          <w:lang w:val="en-US"/>
        </w:rPr>
      </w:pPr>
      <w:r w:rsidRPr="001E2869">
        <w:rPr>
          <w:rFonts w:ascii="Helvetica" w:eastAsia="Times New Roman" w:hAnsi="Helvetica" w:cs="Helvetica"/>
          <w:sz w:val="24"/>
          <w:szCs w:val="24"/>
          <w:lang w:val="en-US"/>
        </w:rPr>
        <w:t>Ley Núm. 132</w:t>
      </w:r>
    </w:p>
    <w:p w:rsidR="001E2869" w:rsidRPr="001E2869" w:rsidRDefault="001E2869" w:rsidP="001E2869">
      <w:pPr>
        <w:shd w:val="clear" w:color="auto" w:fill="FFFFFF"/>
        <w:spacing w:after="146" w:line="293" w:lineRule="atLeast"/>
        <w:outlineLvl w:val="4"/>
        <w:rPr>
          <w:rFonts w:ascii="Helvetica" w:eastAsia="Times New Roman" w:hAnsi="Helvetica" w:cs="Helvetica"/>
          <w:b/>
          <w:bCs/>
          <w:caps/>
          <w:color w:val="F77249"/>
          <w:sz w:val="20"/>
          <w:szCs w:val="20"/>
          <w:lang w:val="en-US"/>
        </w:rPr>
      </w:pPr>
      <w:r w:rsidRPr="001E2869">
        <w:rPr>
          <w:rFonts w:ascii="Helvetica" w:eastAsia="Times New Roman" w:hAnsi="Helvetica" w:cs="Helvetica"/>
          <w:b/>
          <w:bCs/>
          <w:caps/>
          <w:color w:val="F77249"/>
          <w:sz w:val="20"/>
          <w:szCs w:val="20"/>
          <w:lang w:val="en-US"/>
        </w:rPr>
        <w:t>   </w:t>
      </w:r>
      <w:r w:rsidRPr="001E2869">
        <w:rPr>
          <w:rFonts w:ascii="Helvetica" w:eastAsia="Times New Roman" w:hAnsi="Helvetica" w:cs="Helvetica"/>
          <w:b/>
          <w:bCs/>
          <w:caps/>
          <w:color w:val="F77249"/>
          <w:sz w:val="17"/>
          <w:szCs w:val="17"/>
          <w:lang w:val="en-US"/>
        </w:rPr>
        <w:t>17 DE SEPTIEMBRE DE 2001</w:t>
      </w:r>
    </w:p>
    <w:p w:rsidR="001E2869" w:rsidRPr="001E2869" w:rsidRDefault="001E2869" w:rsidP="001E2869">
      <w:pPr>
        <w:shd w:val="clear" w:color="auto" w:fill="FFFFFF"/>
        <w:spacing w:before="146" w:after="146" w:line="240" w:lineRule="auto"/>
        <w:outlineLvl w:val="3"/>
        <w:rPr>
          <w:rFonts w:ascii="Helvetica" w:eastAsia="Times New Roman" w:hAnsi="Helvetica" w:cs="Helvetica"/>
          <w:color w:val="777777"/>
          <w:sz w:val="24"/>
          <w:szCs w:val="24"/>
          <w:lang w:val="en-US"/>
        </w:rPr>
      </w:pPr>
      <w:r w:rsidRPr="001E2869">
        <w:rPr>
          <w:rFonts w:ascii="Helvetica" w:eastAsia="Times New Roman" w:hAnsi="Helvetica" w:cs="Helvetica"/>
          <w:color w:val="777777"/>
          <w:sz w:val="24"/>
          <w:szCs w:val="24"/>
          <w:lang w:val="en-US"/>
        </w:rPr>
        <w:t>​EXPOSICION DE MOTIVOS</w:t>
      </w:r>
    </w:p>
    <w:p w:rsidR="001E2869" w:rsidRPr="001E2869" w:rsidRDefault="001E2869" w:rsidP="001E2869">
      <w:pPr>
        <w:shd w:val="clear" w:color="auto" w:fill="FFFFFF"/>
        <w:spacing w:after="150" w:line="240" w:lineRule="auto"/>
        <w:rPr>
          <w:rFonts w:ascii="Helvetica" w:eastAsia="Times New Roman" w:hAnsi="Helvetica" w:cs="Helvetica"/>
          <w:color w:val="777777"/>
          <w:sz w:val="20"/>
          <w:szCs w:val="20"/>
          <w:lang w:val="en-US"/>
        </w:rPr>
      </w:pPr>
      <w:r w:rsidRPr="001E2869">
        <w:rPr>
          <w:rFonts w:ascii="Helvetica" w:eastAsia="Times New Roman" w:hAnsi="Helvetica" w:cs="Helvetica"/>
          <w:color w:val="777777"/>
          <w:sz w:val="20"/>
          <w:szCs w:val="20"/>
          <w:lang w:val="en-US"/>
        </w:rPr>
        <w:t>Los gobiernos tienen laresponsabilidad de salvaguardar la seguridad de todos sus ciudadanos tomandoaquellas medidas necesarias para lograr este fin. Esto es parte del “Poder de Reglamentación”inherente a todo gobierno, que lo faculta a reglamentar lo que sea contrario oamenace al bienestar, seguridad, moral y libertad de la comunidad.</w:t>
      </w:r>
      <w:r w:rsidRPr="001E2869">
        <w:rPr>
          <w:rFonts w:ascii="Helvetica" w:eastAsia="Times New Roman" w:hAnsi="Helvetica" w:cs="Helvetica"/>
          <w:color w:val="777777"/>
          <w:sz w:val="20"/>
          <w:szCs w:val="20"/>
          <w:lang w:val="en-US"/>
        </w:rPr>
        <w:br/>
        <w:t> </w:t>
      </w:r>
      <w:r w:rsidRPr="001E2869">
        <w:rPr>
          <w:rFonts w:ascii="Helvetica" w:eastAsia="Times New Roman" w:hAnsi="Helvetica" w:cs="Helvetica"/>
          <w:color w:val="777777"/>
          <w:sz w:val="20"/>
          <w:szCs w:val="20"/>
          <w:lang w:val="en-US"/>
        </w:rPr>
        <w:br/>
        <w:t>El cemento es un elemento básicopara el desarrollo socioeconómico de Puerto Rico.  Es el material principal y primario de la construcción en nuestropaís.  El mismo se utiliza en laconstrucción de viviendas, edificios comerciales, fábricas, almacenes,carreteras, centros comerciales, escuelas, centro de estudio y lugares deesparcimiento y recreación, entre muchas otras.  Es imprescindible, para la seguridad, la vida y propiedad denuestros ciudadanos, que se establezcan claramente controles de calidad y seofrezca información pertinente a los consumidores sobre este producto.</w:t>
      </w:r>
      <w:r w:rsidRPr="001E2869">
        <w:rPr>
          <w:rFonts w:ascii="Helvetica" w:eastAsia="Times New Roman" w:hAnsi="Helvetica" w:cs="Helvetica"/>
          <w:color w:val="777777"/>
          <w:sz w:val="20"/>
          <w:szCs w:val="20"/>
          <w:lang w:val="en-US"/>
        </w:rPr>
        <w:br/>
        <w:t> </w:t>
      </w:r>
      <w:r w:rsidRPr="001E2869">
        <w:rPr>
          <w:rFonts w:ascii="Helvetica" w:eastAsia="Times New Roman" w:hAnsi="Helvetica" w:cs="Helvetica"/>
          <w:color w:val="777777"/>
          <w:sz w:val="20"/>
          <w:szCs w:val="20"/>
          <w:lang w:val="en-US"/>
        </w:rPr>
        <w:br/>
        <w:t>Cumpliendo con su responsabilidad, en1990, se promulgó el Reglamento sobre la Calidad del Cemento Portland,Manufacturado e Importado para el uso en Puerto Rico por el  </w:t>
      </w:r>
      <w:r w:rsidRPr="001E2869">
        <w:rPr>
          <w:rFonts w:ascii="Helvetica" w:eastAsia="Times New Roman" w:hAnsi="Helvetica" w:cs="Helvetica"/>
          <w:color w:val="777777"/>
          <w:sz w:val="20"/>
          <w:szCs w:val="20"/>
          <w:lang w:val="en-US"/>
        </w:rPr>
        <w:br/>
        <w:t> </w:t>
      </w:r>
      <w:r w:rsidRPr="001E2869">
        <w:rPr>
          <w:rFonts w:ascii="Helvetica" w:eastAsia="Times New Roman" w:hAnsi="Helvetica" w:cs="Helvetica"/>
          <w:color w:val="777777"/>
          <w:sz w:val="20"/>
          <w:szCs w:val="20"/>
          <w:lang w:val="en-US"/>
        </w:rPr>
        <w:br/>
        <w:t>El Reglamento estuvo en vigordurante una década y sirvió su propósito, sin embargo, a finales de 1999, DACOpresentó un Proyecto para derogar el mismo. Utilizó como fundamento para estaderogación el hecho de que la Administración de Reglamentos y Permisos habíaadoptado un nuevo Código de Construcción y que éste contemplaba lo establecidoen los reglamentos  de DACO.  También se apoyó en que durante los 10 añosque estuvo vigente el Reglamento sólo surgieron querellas entre manufactureroslocales e importadores y ninguna de ciudadanos particulares.  Por último, mencionó que existen leyesfederales y estatales que regulan los usos de materiales de construcción enobras del Gobierno, por lo que entienden que mantener el Reglamento constituíauna “duplicidad reglamentaria que grava innecesariamente los recursos defiscalización… y que la derogación de los mismos no constituye un peligro albienestar y la seguridad de la población de Puerto Rico”.</w:t>
      </w:r>
      <w:r w:rsidRPr="001E2869">
        <w:rPr>
          <w:rFonts w:ascii="Helvetica" w:eastAsia="Times New Roman" w:hAnsi="Helvetica" w:cs="Helvetica"/>
          <w:color w:val="777777"/>
          <w:sz w:val="20"/>
          <w:szCs w:val="20"/>
          <w:lang w:val="en-US"/>
        </w:rPr>
        <w:br/>
        <w:t> </w:t>
      </w:r>
      <w:r w:rsidRPr="001E2869">
        <w:rPr>
          <w:rFonts w:ascii="Helvetica" w:eastAsia="Times New Roman" w:hAnsi="Helvetica" w:cs="Helvetica"/>
          <w:color w:val="777777"/>
          <w:sz w:val="20"/>
          <w:szCs w:val="20"/>
          <w:lang w:val="en-US"/>
        </w:rPr>
        <w:br/>
        <w:t>No obstante, la nuevareglamentación no provee el establecimiento de sistemas de control decalidad,  para verificar la misma antesde utilizarse el cemento. Esto es sumamente importante, ya que una vez realizadala obra sería prácticamente imposible sustituir el cemento de bajacalidad.  Por otro lado, estareglamentación no exige ningún tipo de fianza o seguro para resarcir los dañosque puedan ocurrir como resultado del utilizar un cemento de baja calidad enobras de construcción.  Miembros de laIndustria de Construcción han indicado que en varias ocasiones se ha vendido en Puerto Rico cemento que no cumple con todos los criterios establecidos en el estándar C-150 de la ASTM, como, por ejemplo, cemento que excede el límite de “pérdida por ignición” o que contiene un por ciento alkalino más alto del producido en Puerto Rico. Esto puede ocasionar agrietamientos y hasta la desintegración del cemento, si no se toman las medidas adecuadas durante la preparación del mismo.</w:t>
      </w:r>
      <w:r w:rsidRPr="001E2869">
        <w:rPr>
          <w:rFonts w:ascii="Helvetica" w:eastAsia="Times New Roman" w:hAnsi="Helvetica" w:cs="Helvetica"/>
          <w:color w:val="777777"/>
          <w:sz w:val="20"/>
          <w:szCs w:val="20"/>
          <w:lang w:val="en-US"/>
        </w:rPr>
        <w:br/>
        <w:t> </w:t>
      </w:r>
      <w:r w:rsidRPr="001E2869">
        <w:rPr>
          <w:rFonts w:ascii="Helvetica" w:eastAsia="Times New Roman" w:hAnsi="Helvetica" w:cs="Helvetica"/>
          <w:color w:val="777777"/>
          <w:sz w:val="20"/>
          <w:szCs w:val="20"/>
          <w:lang w:val="en-US"/>
        </w:rPr>
        <w:br/>
        <w:t>La intención legislativa al actuar sobre esta área es clara: la seguridad de nuestros ciudadanos y la protección de los consumidores.  Es incuestionable el que las agencias gubernamentales, mediante delegación legislativa, tienen el derecho de reglamentar áreas de nuestra convivencia social que estén bajo su jurisdicción, áreas que inclusive la Asamblea Legislativa no hubiera previsto y que resultan en un impacto a la calidad de vida ciudadana requiriendo entonces, de acción legislativa que garantice su permanencia.</w:t>
      </w:r>
      <w:r w:rsidRPr="001E2869">
        <w:rPr>
          <w:rFonts w:ascii="Helvetica" w:eastAsia="Times New Roman" w:hAnsi="Helvetica" w:cs="Helvetica"/>
          <w:color w:val="777777"/>
          <w:sz w:val="20"/>
          <w:szCs w:val="20"/>
          <w:lang w:val="en-US"/>
        </w:rPr>
        <w:br/>
        <w:t> </w:t>
      </w:r>
      <w:r w:rsidRPr="001E2869">
        <w:rPr>
          <w:rFonts w:ascii="Helvetica" w:eastAsia="Times New Roman" w:hAnsi="Helvetica" w:cs="Helvetica"/>
          <w:color w:val="777777"/>
          <w:sz w:val="20"/>
          <w:szCs w:val="20"/>
          <w:lang w:val="en-US"/>
        </w:rPr>
        <w:br/>
      </w:r>
      <w:r w:rsidRPr="001E2869">
        <w:rPr>
          <w:rFonts w:ascii="Helvetica" w:eastAsia="Times New Roman" w:hAnsi="Helvetica" w:cs="Helvetica"/>
          <w:color w:val="777777"/>
          <w:sz w:val="20"/>
          <w:szCs w:val="20"/>
          <w:lang w:val="en-US"/>
        </w:rPr>
        <w:lastRenderedPageBreak/>
        <w:t>La Asamblea Legislativa entiende que la seguridad de nuestra gente es sumamente importante y que deben existir unos estándares mínimos que garanticen la calidad del cemento que se utiliza en la construcción de obras en Puerto Rico.  A estos fines, se promulga la siguiente legislación.</w:t>
      </w:r>
      <w:r w:rsidRPr="001E2869">
        <w:rPr>
          <w:rFonts w:ascii="Helvetica" w:eastAsia="Times New Roman" w:hAnsi="Helvetica" w:cs="Helvetica"/>
          <w:color w:val="777777"/>
          <w:sz w:val="20"/>
          <w:szCs w:val="20"/>
          <w:lang w:val="en-US"/>
        </w:rPr>
        <w:br/>
        <w:t> </w:t>
      </w:r>
    </w:p>
    <w:p w:rsidR="001E2869" w:rsidRPr="001E2869" w:rsidRDefault="001E2869" w:rsidP="001E2869">
      <w:pPr>
        <w:shd w:val="clear" w:color="auto" w:fill="FFFFFF"/>
        <w:spacing w:before="146" w:after="146" w:line="240" w:lineRule="auto"/>
        <w:outlineLvl w:val="3"/>
        <w:rPr>
          <w:rFonts w:ascii="Helvetica" w:eastAsia="Times New Roman" w:hAnsi="Helvetica" w:cs="Helvetica"/>
          <w:color w:val="777777"/>
          <w:sz w:val="24"/>
          <w:szCs w:val="24"/>
          <w:lang w:val="en-US"/>
        </w:rPr>
      </w:pPr>
      <w:r w:rsidRPr="001E2869">
        <w:rPr>
          <w:rFonts w:ascii="Helvetica" w:eastAsia="Times New Roman" w:hAnsi="Helvetica" w:cs="Helvetica"/>
          <w:color w:val="777777"/>
          <w:sz w:val="24"/>
          <w:szCs w:val="24"/>
          <w:lang w:val="en-US"/>
        </w:rPr>
        <w:t>DECRETASE POR LA ASAMBLEA LEGISLATIVA DE PUERTO RICO:</w:t>
      </w:r>
    </w:p>
    <w:p w:rsidR="001E2869" w:rsidRPr="001E2869" w:rsidRDefault="001E2869" w:rsidP="001E2869">
      <w:pPr>
        <w:shd w:val="clear" w:color="auto" w:fill="FFFFFF"/>
        <w:spacing w:before="146" w:after="146" w:line="240" w:lineRule="auto"/>
        <w:outlineLvl w:val="3"/>
        <w:rPr>
          <w:rFonts w:ascii="Helvetica" w:eastAsia="Times New Roman" w:hAnsi="Helvetica" w:cs="Helvetica"/>
          <w:color w:val="777777"/>
          <w:sz w:val="24"/>
          <w:szCs w:val="24"/>
          <w:lang w:val="en-US"/>
        </w:rPr>
      </w:pPr>
      <w:r w:rsidRPr="001E2869">
        <w:rPr>
          <w:rFonts w:ascii="Helvetica" w:eastAsia="Times New Roman" w:hAnsi="Helvetica" w:cs="Helvetica"/>
          <w:color w:val="777777"/>
          <w:sz w:val="24"/>
          <w:szCs w:val="24"/>
          <w:lang w:val="en-US"/>
        </w:rPr>
        <w:t>Artículo 1.-Título Corto</w:t>
      </w:r>
    </w:p>
    <w:p w:rsidR="001E2869" w:rsidRPr="001E2869" w:rsidRDefault="001E2869" w:rsidP="001E2869">
      <w:pPr>
        <w:shd w:val="clear" w:color="auto" w:fill="FFFFFF"/>
        <w:spacing w:after="150" w:line="240" w:lineRule="auto"/>
        <w:rPr>
          <w:rFonts w:ascii="Helvetica" w:eastAsia="Times New Roman" w:hAnsi="Helvetica" w:cs="Helvetica"/>
          <w:color w:val="777777"/>
          <w:sz w:val="20"/>
          <w:szCs w:val="20"/>
          <w:lang w:val="en-US"/>
        </w:rPr>
      </w:pPr>
      <w:r w:rsidRPr="001E2869">
        <w:rPr>
          <w:rFonts w:ascii="Helvetica" w:eastAsia="Times New Roman" w:hAnsi="Helvetica" w:cs="Helvetica"/>
          <w:color w:val="777777"/>
          <w:sz w:val="20"/>
          <w:szCs w:val="20"/>
          <w:lang w:val="en-US"/>
        </w:rPr>
        <w:t>Esta Ley se conocerá como “Ley sobre la Calidad de Cemento para uso en Puerto Rico”.</w:t>
      </w:r>
      <w:r w:rsidRPr="001E2869">
        <w:rPr>
          <w:rFonts w:ascii="Helvetica" w:eastAsia="Times New Roman" w:hAnsi="Helvetica" w:cs="Helvetica"/>
          <w:color w:val="777777"/>
          <w:sz w:val="20"/>
          <w:szCs w:val="20"/>
          <w:lang w:val="en-US"/>
        </w:rPr>
        <w:br/>
        <w:t>Artículo 2.-Definiciones</w:t>
      </w:r>
      <w:r w:rsidRPr="001E2869">
        <w:rPr>
          <w:rFonts w:ascii="Helvetica" w:eastAsia="Times New Roman" w:hAnsi="Helvetica" w:cs="Helvetica"/>
          <w:color w:val="777777"/>
          <w:sz w:val="20"/>
          <w:szCs w:val="20"/>
          <w:lang w:val="en-US"/>
        </w:rPr>
        <w:br/>
        <w:t>Los siguientes términos usados en esta Ley tendrán el siguiente significado:</w:t>
      </w:r>
      <w:r w:rsidRPr="001E2869">
        <w:rPr>
          <w:rFonts w:ascii="Helvetica" w:eastAsia="Times New Roman" w:hAnsi="Helvetica" w:cs="Helvetica"/>
          <w:color w:val="777777"/>
          <w:sz w:val="20"/>
          <w:szCs w:val="20"/>
          <w:lang w:val="en-US"/>
        </w:rPr>
        <w:br/>
        <w:t>a. ASTM - significará “American Society for Testing and Materials”, organización científica y técnica establecida en los Estados Unidos para promulgar el desarrollo de estándares en las características y funcionamiento de materiales, productos, sistemas y servicios, junto a la promoción de conocimiento relacionado.</w:t>
      </w:r>
      <w:r w:rsidRPr="001E2869">
        <w:rPr>
          <w:rFonts w:ascii="Helvetica" w:eastAsia="Times New Roman" w:hAnsi="Helvetica" w:cs="Helvetica"/>
          <w:color w:val="777777"/>
          <w:sz w:val="20"/>
          <w:szCs w:val="20"/>
          <w:lang w:val="en-US"/>
        </w:rPr>
        <w:br/>
        <w:t>b. Cemento -  se refiere a todo cemento hidráulico que se fragua y endurece mediante una interacción química con agua y que tiene la capacidad de reacción de la misma manera bajo agua, según especifica el U.B.C.</w:t>
      </w:r>
      <w:r w:rsidRPr="001E2869">
        <w:rPr>
          <w:rFonts w:ascii="Helvetica" w:eastAsia="Times New Roman" w:hAnsi="Helvetica" w:cs="Helvetica"/>
          <w:color w:val="777777"/>
          <w:sz w:val="20"/>
          <w:szCs w:val="20"/>
          <w:lang w:val="en-US"/>
        </w:rPr>
        <w:br/>
        <w:t>c. Departamento - significará el Departamento de Asuntos del Consumidor.</w:t>
      </w:r>
      <w:r w:rsidRPr="001E2869">
        <w:rPr>
          <w:rFonts w:ascii="Helvetica" w:eastAsia="Times New Roman" w:hAnsi="Helvetica" w:cs="Helvetica"/>
          <w:color w:val="777777"/>
          <w:sz w:val="20"/>
          <w:szCs w:val="20"/>
          <w:lang w:val="en-US"/>
        </w:rPr>
        <w:br/>
        <w:t>d. Distribución - significará la actividad económica que conlleva exponer para la venta al por mayor o al detal el cemento.</w:t>
      </w:r>
      <w:r w:rsidRPr="001E2869">
        <w:rPr>
          <w:rFonts w:ascii="Helvetica" w:eastAsia="Times New Roman" w:hAnsi="Helvetica" w:cs="Helvetica"/>
          <w:color w:val="777777"/>
          <w:sz w:val="20"/>
          <w:szCs w:val="20"/>
          <w:lang w:val="en-US"/>
        </w:rPr>
        <w:br/>
        <w:t>e. Importador - significará  toda persona que introduce a Puerto Rico cualquier tipo de Cemento manufacturado fuera de Puerto Rico.</w:t>
      </w:r>
      <w:r w:rsidRPr="001E2869">
        <w:rPr>
          <w:rFonts w:ascii="Helvetica" w:eastAsia="Times New Roman" w:hAnsi="Helvetica" w:cs="Helvetica"/>
          <w:color w:val="777777"/>
          <w:sz w:val="20"/>
          <w:szCs w:val="20"/>
          <w:lang w:val="en-US"/>
        </w:rPr>
        <w:br/>
        <w:t>f. Manufacturero - significará toda persona que produzca cualquier tipo de Cemento en Puerto Rico.</w:t>
      </w:r>
      <w:r w:rsidRPr="001E2869">
        <w:rPr>
          <w:rFonts w:ascii="Helvetica" w:eastAsia="Times New Roman" w:hAnsi="Helvetica" w:cs="Helvetica"/>
          <w:color w:val="777777"/>
          <w:sz w:val="20"/>
          <w:szCs w:val="20"/>
          <w:lang w:val="en-US"/>
        </w:rPr>
        <w:br/>
        <w:t>g. NIST  - significará “National Institute of Standards and Technology”.</w:t>
      </w:r>
      <w:r w:rsidRPr="001E2869">
        <w:rPr>
          <w:rFonts w:ascii="Helvetica" w:eastAsia="Times New Roman" w:hAnsi="Helvetica" w:cs="Helvetica"/>
          <w:color w:val="777777"/>
          <w:sz w:val="20"/>
          <w:szCs w:val="20"/>
          <w:lang w:val="en-US"/>
        </w:rPr>
        <w:br/>
        <w:t>h.  Persona - significará toda persona natural o jurídica y sus representantes, agentes, mandatarios, mediadores o subsidiarias de cualesquiera de éstos y sus sucesores legales.</w:t>
      </w:r>
      <w:r w:rsidRPr="001E2869">
        <w:rPr>
          <w:rFonts w:ascii="Helvetica" w:eastAsia="Times New Roman" w:hAnsi="Helvetica" w:cs="Helvetica"/>
          <w:color w:val="777777"/>
          <w:sz w:val="20"/>
          <w:szCs w:val="20"/>
          <w:lang w:val="en-US"/>
        </w:rPr>
        <w:br/>
        <w:t>i.  Secretario - significará el Secretario del Departamento de Asuntos del Consumidor.</w:t>
      </w:r>
      <w:r w:rsidRPr="001E2869">
        <w:rPr>
          <w:rFonts w:ascii="Helvetica" w:eastAsia="Times New Roman" w:hAnsi="Helvetica" w:cs="Helvetica"/>
          <w:color w:val="777777"/>
          <w:sz w:val="20"/>
          <w:szCs w:val="20"/>
          <w:lang w:val="en-US"/>
        </w:rPr>
        <w:br/>
        <w:t>j.  U.B.C.- Uniform Building Code; edición de 1997, o cualquier edición posterior según adoptada por la Administración de Reglamentos y Permisos (ARPE).</w:t>
      </w:r>
      <w:r w:rsidRPr="001E2869">
        <w:rPr>
          <w:rFonts w:ascii="Helvetica" w:eastAsia="Times New Roman" w:hAnsi="Helvetica" w:cs="Helvetica"/>
          <w:color w:val="777777"/>
          <w:sz w:val="20"/>
          <w:szCs w:val="20"/>
          <w:lang w:val="en-US"/>
        </w:rPr>
        <w:br/>
        <w:t>k.  Junta - Significará la Junta de Calidad Ambiental.</w:t>
      </w:r>
      <w:r w:rsidRPr="001E2869">
        <w:rPr>
          <w:rFonts w:ascii="Helvetica" w:eastAsia="Times New Roman" w:hAnsi="Helvetica" w:cs="Helvetica"/>
          <w:color w:val="777777"/>
          <w:sz w:val="20"/>
          <w:szCs w:val="20"/>
          <w:lang w:val="en-US"/>
        </w:rPr>
        <w:br/>
        <w:t>l.  NACLA - Significará la "National Cooperation for Laboratory Acreditation".</w:t>
      </w:r>
    </w:p>
    <w:p w:rsidR="001E2869" w:rsidRPr="001E2869" w:rsidRDefault="001E2869" w:rsidP="001E2869">
      <w:pPr>
        <w:shd w:val="clear" w:color="auto" w:fill="FFFFFF"/>
        <w:spacing w:before="146" w:after="146" w:line="240" w:lineRule="auto"/>
        <w:outlineLvl w:val="3"/>
        <w:rPr>
          <w:rFonts w:ascii="Helvetica" w:eastAsia="Times New Roman" w:hAnsi="Helvetica" w:cs="Helvetica"/>
          <w:color w:val="777777"/>
          <w:sz w:val="24"/>
          <w:szCs w:val="24"/>
          <w:lang w:val="en-US"/>
        </w:rPr>
      </w:pPr>
      <w:r w:rsidRPr="001E2869">
        <w:rPr>
          <w:rFonts w:ascii="Helvetica" w:eastAsia="Times New Roman" w:hAnsi="Helvetica" w:cs="Helvetica"/>
          <w:color w:val="777777"/>
          <w:sz w:val="24"/>
          <w:szCs w:val="24"/>
          <w:lang w:val="en-US"/>
        </w:rPr>
        <w:t>Artículo 3.-Alcance y Aplicación</w:t>
      </w:r>
    </w:p>
    <w:p w:rsidR="001E2869" w:rsidRPr="001E2869" w:rsidRDefault="001E2869" w:rsidP="001E2869">
      <w:pPr>
        <w:shd w:val="clear" w:color="auto" w:fill="FFFFFF"/>
        <w:spacing w:after="150" w:line="240" w:lineRule="auto"/>
        <w:rPr>
          <w:rFonts w:ascii="Helvetica" w:eastAsia="Times New Roman" w:hAnsi="Helvetica" w:cs="Helvetica"/>
          <w:color w:val="777777"/>
          <w:sz w:val="20"/>
          <w:szCs w:val="20"/>
          <w:lang w:val="en-US"/>
        </w:rPr>
      </w:pPr>
      <w:r w:rsidRPr="001E2869">
        <w:rPr>
          <w:rFonts w:ascii="Helvetica" w:eastAsia="Times New Roman" w:hAnsi="Helvetica" w:cs="Helvetica"/>
          <w:color w:val="777777"/>
          <w:sz w:val="20"/>
          <w:szCs w:val="20"/>
          <w:lang w:val="en-US"/>
        </w:rPr>
        <w:t>Esta Ley aplicará a toda persona que se dedique a la manufactura e importación de cualquier tipo de Cemento en Puerto Rico.  Solamente se permitirá la manufactura e importación en Puerto Rico de cemento cuyo uso sea permitido por el UBC.</w:t>
      </w:r>
    </w:p>
    <w:p w:rsidR="001E2869" w:rsidRPr="001E2869" w:rsidRDefault="001E2869" w:rsidP="001E2869">
      <w:pPr>
        <w:shd w:val="clear" w:color="auto" w:fill="FFFFFF"/>
        <w:spacing w:before="146" w:after="146" w:line="240" w:lineRule="auto"/>
        <w:outlineLvl w:val="3"/>
        <w:rPr>
          <w:rFonts w:ascii="Helvetica" w:eastAsia="Times New Roman" w:hAnsi="Helvetica" w:cs="Helvetica"/>
          <w:color w:val="777777"/>
          <w:sz w:val="24"/>
          <w:szCs w:val="24"/>
          <w:lang w:val="en-US"/>
        </w:rPr>
      </w:pPr>
      <w:r w:rsidRPr="001E2869">
        <w:rPr>
          <w:rFonts w:ascii="Helvetica" w:eastAsia="Times New Roman" w:hAnsi="Helvetica" w:cs="Helvetica"/>
          <w:color w:val="777777"/>
          <w:sz w:val="24"/>
          <w:szCs w:val="24"/>
          <w:lang w:val="en-US"/>
        </w:rPr>
        <w:t>Artículo 4.-Declaración de Política Pública</w:t>
      </w:r>
    </w:p>
    <w:p w:rsidR="001E2869" w:rsidRPr="001E2869" w:rsidRDefault="001E2869" w:rsidP="001E2869">
      <w:pPr>
        <w:shd w:val="clear" w:color="auto" w:fill="FFFFFF"/>
        <w:spacing w:after="150" w:line="240" w:lineRule="auto"/>
        <w:rPr>
          <w:rFonts w:ascii="Helvetica" w:eastAsia="Times New Roman" w:hAnsi="Helvetica" w:cs="Helvetica"/>
          <w:color w:val="777777"/>
          <w:sz w:val="20"/>
          <w:szCs w:val="20"/>
          <w:lang w:val="en-US"/>
        </w:rPr>
      </w:pPr>
      <w:r w:rsidRPr="001E2869">
        <w:rPr>
          <w:rFonts w:ascii="Helvetica" w:eastAsia="Times New Roman" w:hAnsi="Helvetica" w:cs="Helvetica"/>
          <w:color w:val="777777"/>
          <w:sz w:val="20"/>
          <w:szCs w:val="20"/>
          <w:lang w:val="en-US"/>
        </w:rPr>
        <w:t>a. La seguridad, vida y propiedad constituyen una de las más altas prioridades del Estado.</w:t>
      </w:r>
      <w:r w:rsidRPr="001E2869">
        <w:rPr>
          <w:rFonts w:ascii="Helvetica" w:eastAsia="Times New Roman" w:hAnsi="Helvetica" w:cs="Helvetica"/>
          <w:color w:val="777777"/>
          <w:sz w:val="20"/>
          <w:szCs w:val="20"/>
          <w:lang w:val="en-US"/>
        </w:rPr>
        <w:br/>
        <w:t>b. El cemento es el material principal de la construcción en nuestro país, lo que lo hace ser un elemento básico para el desarrollo socioeconómico de Puerto Rico.</w:t>
      </w:r>
      <w:r w:rsidRPr="001E2869">
        <w:rPr>
          <w:rFonts w:ascii="Helvetica" w:eastAsia="Times New Roman" w:hAnsi="Helvetica" w:cs="Helvetica"/>
          <w:color w:val="777777"/>
          <w:sz w:val="20"/>
          <w:szCs w:val="20"/>
          <w:lang w:val="en-US"/>
        </w:rPr>
        <w:br/>
        <w:t>c.  La calidad del cemento utilizado en Puerto Rico requiere del cumplimiento de los estándares mínimos aceptables para la construcción, según dispuesto en las leyes, reglamentos o códigos federales o estatales adoptados por el Estado Libre Asociado de Puerto Rico, así como de la fiscalización adecuada para garantizar dicho cumplimiento.</w:t>
      </w:r>
    </w:p>
    <w:p w:rsidR="001E2869" w:rsidRPr="001E2869" w:rsidRDefault="001E2869" w:rsidP="001E2869">
      <w:pPr>
        <w:shd w:val="clear" w:color="auto" w:fill="FFFFFF"/>
        <w:spacing w:before="146" w:after="146" w:line="240" w:lineRule="auto"/>
        <w:outlineLvl w:val="3"/>
        <w:rPr>
          <w:rFonts w:ascii="Helvetica" w:eastAsia="Times New Roman" w:hAnsi="Helvetica" w:cs="Helvetica"/>
          <w:color w:val="777777"/>
          <w:sz w:val="24"/>
          <w:szCs w:val="24"/>
          <w:lang w:val="en-US"/>
        </w:rPr>
      </w:pPr>
      <w:r w:rsidRPr="001E2869">
        <w:rPr>
          <w:rFonts w:ascii="Helvetica" w:eastAsia="Times New Roman" w:hAnsi="Helvetica" w:cs="Helvetica"/>
          <w:color w:val="777777"/>
          <w:sz w:val="24"/>
          <w:szCs w:val="24"/>
          <w:lang w:val="en-US"/>
        </w:rPr>
        <w:t>Artículo 5.-Requisitos de Calidad</w:t>
      </w:r>
    </w:p>
    <w:p w:rsidR="001E2869" w:rsidRPr="001E2869" w:rsidRDefault="001E2869" w:rsidP="001E2869">
      <w:pPr>
        <w:shd w:val="clear" w:color="auto" w:fill="FFFFFF"/>
        <w:spacing w:after="150" w:line="240" w:lineRule="auto"/>
        <w:rPr>
          <w:rFonts w:ascii="Helvetica" w:eastAsia="Times New Roman" w:hAnsi="Helvetica" w:cs="Helvetica"/>
          <w:color w:val="777777"/>
          <w:sz w:val="20"/>
          <w:szCs w:val="20"/>
          <w:lang w:val="en-US"/>
        </w:rPr>
      </w:pPr>
      <w:r w:rsidRPr="001E2869">
        <w:rPr>
          <w:rFonts w:ascii="Helvetica" w:eastAsia="Times New Roman" w:hAnsi="Helvetica" w:cs="Helvetica"/>
          <w:color w:val="777777"/>
          <w:sz w:val="20"/>
          <w:szCs w:val="20"/>
          <w:lang w:val="en-US"/>
        </w:rPr>
        <w:t xml:space="preserve">Todo cemento manufacturado en Puerto Rico o importado deberá cumplir con los estándares mandatorios y opcionales de calidad, correspondientes al tipo de cemento que se trate, según el Volumen 04-01 de la Sección 4 del Manual de Estándares de la ASTM, en su revisión anual más reciente. Además, deberá cumplir con las especificaciones requeridas en el Código de Edificación Uniforme, adoptado por la Administración de Reglamentos y Permisos (1997 Uniform Building Code de la International Conference of Building Officials, según enmendado). Será responsabilidad de todo </w:t>
      </w:r>
      <w:r w:rsidRPr="001E2869">
        <w:rPr>
          <w:rFonts w:ascii="Helvetica" w:eastAsia="Times New Roman" w:hAnsi="Helvetica" w:cs="Helvetica"/>
          <w:color w:val="777777"/>
          <w:sz w:val="20"/>
          <w:szCs w:val="20"/>
          <w:lang w:val="en-US"/>
        </w:rPr>
        <w:lastRenderedPageBreak/>
        <w:t>manufacturero e importador al por mayor el realizar los análisis físicos y químicos necesarios para establecer que el cemento cumple con lo establecido en este Artículo.  Dichos análisis deberán ser realizados en un laboratorio inspeccionado por el NIST o acreditado por cualquiera de los firmantes del Arreglo de Reconocimiento Mutuo (MRA) de NACLA.  Se prohíbe la distribución y el uso en Puerto Rico de cualquier cemento que no cumpla con todos los requisitos de calidad establecidos en este Artículo.  Se prohíbe a los manufactureros y a los importadores el mezclar distintos tipos de cemento así como mezclar cemento que provenga de diferentes fábricas.</w:t>
      </w:r>
    </w:p>
    <w:p w:rsidR="001E2869" w:rsidRPr="001E2869" w:rsidRDefault="001E2869" w:rsidP="001E2869">
      <w:pPr>
        <w:shd w:val="clear" w:color="auto" w:fill="FFFFFF"/>
        <w:spacing w:before="146" w:after="146" w:line="240" w:lineRule="auto"/>
        <w:outlineLvl w:val="3"/>
        <w:rPr>
          <w:rFonts w:ascii="Helvetica" w:eastAsia="Times New Roman" w:hAnsi="Helvetica" w:cs="Helvetica"/>
          <w:color w:val="777777"/>
          <w:sz w:val="24"/>
          <w:szCs w:val="24"/>
          <w:lang w:val="en-US"/>
        </w:rPr>
      </w:pPr>
      <w:r w:rsidRPr="001E2869">
        <w:rPr>
          <w:rFonts w:ascii="Helvetica" w:eastAsia="Times New Roman" w:hAnsi="Helvetica" w:cs="Helvetica"/>
          <w:color w:val="777777"/>
          <w:sz w:val="24"/>
          <w:szCs w:val="24"/>
          <w:lang w:val="en-US"/>
        </w:rPr>
        <w:t>Artículo 6.-Requisitos de Registro para Manufactureros e Importadores</w:t>
      </w:r>
    </w:p>
    <w:p w:rsidR="001E2869" w:rsidRPr="001E2869" w:rsidRDefault="001E2869" w:rsidP="001E2869">
      <w:pPr>
        <w:shd w:val="clear" w:color="auto" w:fill="FFFFFF"/>
        <w:spacing w:after="150" w:line="240" w:lineRule="auto"/>
        <w:rPr>
          <w:rFonts w:ascii="Helvetica" w:eastAsia="Times New Roman" w:hAnsi="Helvetica" w:cs="Helvetica"/>
          <w:color w:val="777777"/>
          <w:sz w:val="20"/>
          <w:szCs w:val="20"/>
          <w:lang w:val="en-US"/>
        </w:rPr>
      </w:pPr>
      <w:r w:rsidRPr="001E2869">
        <w:rPr>
          <w:rFonts w:ascii="Helvetica" w:eastAsia="Times New Roman" w:hAnsi="Helvetica" w:cs="Helvetica"/>
          <w:color w:val="777777"/>
          <w:sz w:val="20"/>
          <w:szCs w:val="20"/>
          <w:lang w:val="en-US"/>
        </w:rPr>
        <w:t>Todo manufacturero e importador al por mayor de cemento deberá estar registrado en el Departamento.  Este registro no lo exime del registro requerido por cualquier otra agencia o instrumentalidad del Gobierno de Puerto Rico para el cumplimiento de alguna otra ley o reglamento.  En o antes del 31 de enero de cada año cada uno de éstos radicará una declaración jurada en la que consignará la siguiente información:</w:t>
      </w:r>
      <w:r w:rsidRPr="001E2869">
        <w:rPr>
          <w:rFonts w:ascii="Helvetica" w:eastAsia="Times New Roman" w:hAnsi="Helvetica" w:cs="Helvetica"/>
          <w:color w:val="777777"/>
          <w:sz w:val="20"/>
          <w:szCs w:val="20"/>
          <w:lang w:val="en-US"/>
        </w:rPr>
        <w:br/>
        <w:t>a.  Nombre, dirección, número de teléfono y fax, dirección electrónica de la persona natural o jurídica solicitante,  de así tenerla, así como de su presidente y los directores, y el nombre y dirección del agente residente, si se trata de una corporación, o de sus socios en caso de una sociedad.</w:t>
      </w:r>
      <w:r w:rsidRPr="001E2869">
        <w:rPr>
          <w:rFonts w:ascii="Helvetica" w:eastAsia="Times New Roman" w:hAnsi="Helvetica" w:cs="Helvetica"/>
          <w:color w:val="777777"/>
          <w:sz w:val="20"/>
          <w:szCs w:val="20"/>
          <w:lang w:val="en-US"/>
        </w:rPr>
        <w:br/>
        <w:t>b. Participación de otras firmas en el capital del solicitante, identificando éstas con la misma información requerida en el inciso (a) de este Artículo.</w:t>
      </w:r>
      <w:r w:rsidRPr="001E2869">
        <w:rPr>
          <w:rFonts w:ascii="Helvetica" w:eastAsia="Times New Roman" w:hAnsi="Helvetica" w:cs="Helvetica"/>
          <w:color w:val="777777"/>
          <w:sz w:val="20"/>
          <w:szCs w:val="20"/>
          <w:lang w:val="en-US"/>
        </w:rPr>
        <w:br/>
        <w:t>c. Relación comercial que tenga el solicitante con empresas financieras, distribuidores, compañías matrices, afiliadas o subsidiarias o con empresas que usualmente utilicen cemento e identificación de las mismas, según requerido en el inciso (a) de este Artículo.</w:t>
      </w:r>
      <w:r w:rsidRPr="001E2869">
        <w:rPr>
          <w:rFonts w:ascii="Helvetica" w:eastAsia="Times New Roman" w:hAnsi="Helvetica" w:cs="Helvetica"/>
          <w:color w:val="777777"/>
          <w:sz w:val="20"/>
          <w:szCs w:val="20"/>
          <w:lang w:val="en-US"/>
        </w:rPr>
        <w:br/>
        <w:t>d. La declaración jurada vendrá acompañada de un cheque o giro postal a nombre del Secretario de Hacienda por la cantidad de mil (1,000) dólares, por concepto de derecho de registro original y de quinientos (500) dólares, en su renovación anual. En caso de una corporación o sociedad deberá incluir, además, una copia del Certificado de Incorporación o de la Escritura de Constitución, según fuere el caso, únicamente en el registro original.</w:t>
      </w:r>
      <w:r w:rsidRPr="001E2869">
        <w:rPr>
          <w:rFonts w:ascii="Helvetica" w:eastAsia="Times New Roman" w:hAnsi="Helvetica" w:cs="Helvetica"/>
          <w:color w:val="777777"/>
          <w:sz w:val="20"/>
          <w:szCs w:val="20"/>
          <w:lang w:val="en-US"/>
        </w:rPr>
        <w:br/>
        <w:t>e. Una fianza con cubiertas mínimas de (1,000,000) de dólares por persona y (2,000,000) de dólares por ocurrencia para asegurar el resarcimiento a terceros por cualquier daño causado por deficiencias en la calidad del cemento durante el término dispuesto por el Código Civil de Puerto Rico.  Esta fianza o seguro podrá también responder por cualquier imposición administrativa o judicial causadas por el incumplimiento de esta Ley, de así no hacerlo el infractor en un período de treinta (30) días luego que la decisión advenga a ser final y firme.  Toda fianza requerida en este Artículo deberá obtenerse de una compañía de seguros certificada a realizar negocios en Puerto Rico por el Comisionado de Seguros de Puerto Rico.</w:t>
      </w:r>
      <w:r w:rsidRPr="001E2869">
        <w:rPr>
          <w:rFonts w:ascii="Helvetica" w:eastAsia="Times New Roman" w:hAnsi="Helvetica" w:cs="Helvetica"/>
          <w:color w:val="777777"/>
          <w:sz w:val="20"/>
          <w:szCs w:val="20"/>
          <w:lang w:val="en-US"/>
        </w:rPr>
        <w:br/>
        <w:t>f. Todo cambio en la información, previamente suministrada, tendrá que ser notificado por escrito al Departamento dentro de los diez (10) días siguientes a la fecha de su ocurrencia.</w:t>
      </w:r>
      <w:r w:rsidRPr="001E2869">
        <w:rPr>
          <w:rFonts w:ascii="Helvetica" w:eastAsia="Times New Roman" w:hAnsi="Helvetica" w:cs="Helvetica"/>
          <w:color w:val="777777"/>
          <w:sz w:val="20"/>
          <w:szCs w:val="20"/>
          <w:lang w:val="en-US"/>
        </w:rPr>
        <w:br/>
        <w:t>g. Cualquier cancelación, alteración o cambio material a la póliza o fianza mencionada en el inciso (d) de este Artículo, deberá notificarse al Departamento con treinta (30) días de antelación para la aprobación del Secretario.</w:t>
      </w:r>
    </w:p>
    <w:p w:rsidR="001E2869" w:rsidRPr="001E2869" w:rsidRDefault="001E2869" w:rsidP="001E2869">
      <w:pPr>
        <w:shd w:val="clear" w:color="auto" w:fill="FFFFFF"/>
        <w:spacing w:before="146" w:after="146" w:line="240" w:lineRule="auto"/>
        <w:outlineLvl w:val="3"/>
        <w:rPr>
          <w:rFonts w:ascii="Helvetica" w:eastAsia="Times New Roman" w:hAnsi="Helvetica" w:cs="Helvetica"/>
          <w:color w:val="777777"/>
          <w:sz w:val="24"/>
          <w:szCs w:val="24"/>
          <w:lang w:val="en-US"/>
        </w:rPr>
      </w:pPr>
      <w:r w:rsidRPr="001E2869">
        <w:rPr>
          <w:rFonts w:ascii="Helvetica" w:eastAsia="Times New Roman" w:hAnsi="Helvetica" w:cs="Helvetica"/>
          <w:color w:val="777777"/>
          <w:sz w:val="24"/>
          <w:szCs w:val="24"/>
          <w:lang w:val="en-US"/>
        </w:rPr>
        <w:t>Artículo 7.-Requisitos para Importadores y Manufactureras de Cemento</w:t>
      </w:r>
    </w:p>
    <w:p w:rsidR="001E2869" w:rsidRPr="001E2869" w:rsidRDefault="001E2869" w:rsidP="001E2869">
      <w:pPr>
        <w:shd w:val="clear" w:color="auto" w:fill="FFFFFF"/>
        <w:spacing w:after="150" w:line="240" w:lineRule="auto"/>
        <w:rPr>
          <w:rFonts w:ascii="Helvetica" w:eastAsia="Times New Roman" w:hAnsi="Helvetica" w:cs="Helvetica"/>
          <w:color w:val="777777"/>
          <w:sz w:val="20"/>
          <w:szCs w:val="20"/>
          <w:lang w:val="en-US"/>
        </w:rPr>
      </w:pPr>
      <w:r w:rsidRPr="001E2869">
        <w:rPr>
          <w:rFonts w:ascii="Helvetica" w:eastAsia="Times New Roman" w:hAnsi="Helvetica" w:cs="Helvetica"/>
          <w:color w:val="777777"/>
          <w:sz w:val="20"/>
          <w:szCs w:val="20"/>
          <w:lang w:val="en-US"/>
        </w:rPr>
        <w:t>Toda persona que importe o manufacture cemento en Puerto Rico deberá cumplir con los siguientes requisitos:</w:t>
      </w:r>
      <w:r w:rsidRPr="001E2869">
        <w:rPr>
          <w:rFonts w:ascii="Helvetica" w:eastAsia="Times New Roman" w:hAnsi="Helvetica" w:cs="Helvetica"/>
          <w:color w:val="777777"/>
          <w:sz w:val="20"/>
          <w:szCs w:val="20"/>
          <w:lang w:val="en-US"/>
        </w:rPr>
        <w:br/>
        <w:t>a. Los manufactureros deberán radicar, cada treinta (30) días, los resultados de los análisis físicos y químicos realizados al cemento durante dicho período.  Estos resultados serán informados directamente al Departamento con copia al manufacturero.</w:t>
      </w:r>
      <w:r w:rsidRPr="001E2869">
        <w:rPr>
          <w:rFonts w:ascii="Helvetica" w:eastAsia="Times New Roman" w:hAnsi="Helvetica" w:cs="Helvetica"/>
          <w:color w:val="777777"/>
          <w:sz w:val="20"/>
          <w:szCs w:val="20"/>
          <w:lang w:val="en-US"/>
        </w:rPr>
        <w:br/>
        <w:t>b. Las muestras de los análisis mencionados en el inciso anterior deberán tomarse según lo establecido en el Manual de Estándares de la ASTM en su Sección C-183.          </w:t>
      </w:r>
      <w:r w:rsidRPr="001E2869">
        <w:rPr>
          <w:rFonts w:ascii="Helvetica" w:eastAsia="Times New Roman" w:hAnsi="Helvetica" w:cs="Helvetica"/>
          <w:color w:val="777777"/>
          <w:sz w:val="20"/>
          <w:szCs w:val="20"/>
          <w:lang w:val="en-US"/>
        </w:rPr>
        <w:br/>
        <w:t xml:space="preserve">c.   Todo importador  o manufacturero deberá informar por escrito o por método electrónico aceptado por el Departamento a éste la llegada de todo embarque de cualquier tipo de Cemento a Puerto Rico, por lo menos con cinco (5) días laborables de anticipación a la llegada del embarque. A su llegada, un funcionario del Departamento podrá personarse al puerto y tomar muestras del cemento que contiene cada bodega del barco de cemento, de acuerdo con lo establecido en el Manual de Estándares de la ASTM, en su especificación C-183, en el volumen necesario para la totalidad de muestras que requiere </w:t>
      </w:r>
      <w:r w:rsidRPr="001E2869">
        <w:rPr>
          <w:rFonts w:ascii="Helvetica" w:eastAsia="Times New Roman" w:hAnsi="Helvetica" w:cs="Helvetica"/>
          <w:color w:val="777777"/>
          <w:sz w:val="20"/>
          <w:szCs w:val="20"/>
          <w:lang w:val="en-US"/>
        </w:rPr>
        <w:lastRenderedPageBreak/>
        <w:t>este Artículo.  Esta notificación deberá ser hecha a la Junta de Calidad Ambiental para que esta pueda verificar si la descarga cumple con el Reglamento para el Control de la Contaminación Atmosférica, según enmendada.  La Junta estará presente en por lo menos cincuenta (50) por ciento de los embarques tomando como base el total de embarques del año anterior al corriente.  </w:t>
      </w:r>
      <w:r w:rsidRPr="001E2869">
        <w:rPr>
          <w:rFonts w:ascii="Helvetica" w:eastAsia="Times New Roman" w:hAnsi="Helvetica" w:cs="Helvetica"/>
          <w:color w:val="777777"/>
          <w:sz w:val="20"/>
          <w:szCs w:val="20"/>
          <w:lang w:val="en-US"/>
        </w:rPr>
        <w:br/>
        <w:t>d.  Dichas muestras serán divididas en seis (6) partes, tres de las cuales las retendrá el importador para realizar los análisis o pruebas correspondientes. La cuarta parte será enviada por el Departamento a un laboratorio independiente y la quinta y sexta serán retenidas en el Departamento, en el caso que sea necesario realizar análisis adicionales. Los resultados de este análisis serán enviados directamente al Departamento, con copia al importador.</w:t>
      </w:r>
      <w:r w:rsidRPr="001E2869">
        <w:rPr>
          <w:rFonts w:ascii="Helvetica" w:eastAsia="Times New Roman" w:hAnsi="Helvetica" w:cs="Helvetica"/>
          <w:color w:val="777777"/>
          <w:sz w:val="20"/>
          <w:szCs w:val="20"/>
          <w:lang w:val="en-US"/>
        </w:rPr>
        <w:br/>
        <w:t>e. Toda persona que manufacture o importe cemento de cualquier tipo a Puerto Rico deberá radicar en la Secretaría Auxiliar de Fiscalización del Departamento un Certificado de Cumplimiento que acredite los requisitos de calidad de cemento conforme a los análisis físicos y químicos establecidos en el Artículo 5 de esta Ley. El laboratorio que realice los análisis para determinar cumplimiento deberá estar debidamente inspeccionado por la NIST o acreditado por cualquiera de los firmantes del Arreglo de Reconocimiento Mutuo (MRA) de NACLA. El Certificado de Cumplimiento de los importadores deberá radicarse en un término de quince (15) días, a partir del recibo de cada embarque, salvo el de compresión a los veintiocho (28) días, cuyo resultado se presentará dentro de los treinta (30) días siguientes al recibo del embarque. Este documento certificará que el cemento cumple con los requisitos establecidos en el Artículo 4 de esta Ley. El Certificado de Cumplimiento de los manufactureros de cemento deberán radicar cada 30 días los resultados de análisis químicos y físicos realizados a su cemento durante dicho período.</w:t>
      </w:r>
      <w:r w:rsidRPr="001E2869">
        <w:rPr>
          <w:rFonts w:ascii="Helvetica" w:eastAsia="Times New Roman" w:hAnsi="Helvetica" w:cs="Helvetica"/>
          <w:color w:val="777777"/>
          <w:sz w:val="20"/>
          <w:szCs w:val="20"/>
          <w:lang w:val="en-US"/>
        </w:rPr>
        <w:br/>
        <w:t>f. Cualquier análisis que refleje incumplimiento con los requisitos de calidad aquí exigidos, repetirá una vez usando los métodos en el Artículo 10, de la especificación C-183 vigente del Manual de Estándares ASTM, sobre incumplimiento y repetición de prueba. En ese caso, se usarán solamente los resultados obtenidos en el método de arbitraje. El reexamen consistirá del mismo número de determinaciones requeridas para el análisis inicial. Cuando se requieran dos o más determinaciones, el valor informado será el promedio de todos los resultados que están dentro de los limites de precisión del método, con un 95% de confiabilidad, según recomendado en la especificación o reconocidos generalmente.</w:t>
      </w:r>
      <w:r w:rsidRPr="001E2869">
        <w:rPr>
          <w:rFonts w:ascii="Helvetica" w:eastAsia="Times New Roman" w:hAnsi="Helvetica" w:cs="Helvetica"/>
          <w:color w:val="777777"/>
          <w:sz w:val="20"/>
          <w:szCs w:val="20"/>
          <w:lang w:val="en-US"/>
        </w:rPr>
        <w:br/>
        <w:t>g. El importador manufacturero, según sea el caso, pagará los costos de los análisis físicos y químicos descritos anteriormente.</w:t>
      </w:r>
    </w:p>
    <w:p w:rsidR="001E2869" w:rsidRPr="001E2869" w:rsidRDefault="001E2869" w:rsidP="001E2869">
      <w:pPr>
        <w:shd w:val="clear" w:color="auto" w:fill="FFFFFF"/>
        <w:spacing w:before="146" w:after="146" w:line="240" w:lineRule="auto"/>
        <w:outlineLvl w:val="3"/>
        <w:rPr>
          <w:rFonts w:ascii="Helvetica" w:eastAsia="Times New Roman" w:hAnsi="Helvetica" w:cs="Helvetica"/>
          <w:color w:val="777777"/>
          <w:sz w:val="24"/>
          <w:szCs w:val="24"/>
          <w:lang w:val="en-US"/>
        </w:rPr>
      </w:pPr>
      <w:r w:rsidRPr="001E2869">
        <w:rPr>
          <w:rFonts w:ascii="Helvetica" w:eastAsia="Times New Roman" w:hAnsi="Helvetica" w:cs="Helvetica"/>
          <w:color w:val="777777"/>
          <w:sz w:val="24"/>
          <w:szCs w:val="24"/>
          <w:lang w:val="en-US"/>
        </w:rPr>
        <w:t>Artículo 8.-Inspecciones por el Departamento</w:t>
      </w:r>
    </w:p>
    <w:p w:rsidR="001E2869" w:rsidRPr="001E2869" w:rsidRDefault="001E2869" w:rsidP="001E2869">
      <w:pPr>
        <w:shd w:val="clear" w:color="auto" w:fill="FFFFFF"/>
        <w:spacing w:after="150" w:line="240" w:lineRule="auto"/>
        <w:rPr>
          <w:rFonts w:ascii="Helvetica" w:eastAsia="Times New Roman" w:hAnsi="Helvetica" w:cs="Helvetica"/>
          <w:color w:val="777777"/>
          <w:sz w:val="20"/>
          <w:szCs w:val="20"/>
          <w:lang w:val="en-US"/>
        </w:rPr>
      </w:pPr>
      <w:r w:rsidRPr="001E2869">
        <w:rPr>
          <w:rFonts w:ascii="Helvetica" w:eastAsia="Times New Roman" w:hAnsi="Helvetica" w:cs="Helvetica"/>
          <w:color w:val="777777"/>
          <w:sz w:val="20"/>
          <w:szCs w:val="20"/>
          <w:lang w:val="en-US"/>
        </w:rPr>
        <w:t>El Departamento podrá llevar a cabo inspecciones, sin previo aviso, al cemento manufacturado en Puerto Rico. A estos fines, un funcionario del Departamento se presentará a las plantas manufactureras y tomará muestras, conforme a lo establecido en el Manual de Estándares de la ASTM, Especificación C-183. Estas muestras se dividirán en 6 partes y se seguirá el procedimiento establecido en el inciso (d) del Artículo 7 de esta Ley, con la excepción de que se enviarán los resultados a la compañía manufacturera cuyo cemento fue analizado.  Cuando se trate de cemento importado, todo importador informará al Departamento la llegada de todo embarque de cualquier tipo de cemento al  Estado Libre Asociado de Puerto Rico por lo menos cinco (5) días laborables, antes del arribo de dicho embarque. La dividirá en seis partes. Tres partes de la muestra la retendrá el importador  para realizar los análisis o pruebas correspondientes, la cuarta será enviada por el Departamento a un laboratorio independiente, y la quinta y sexta serán retenidas por el Departamento para el caso en que sea necesario hacer análisis adicionales.</w:t>
      </w:r>
      <w:r w:rsidRPr="001E2869">
        <w:rPr>
          <w:rFonts w:ascii="Helvetica" w:eastAsia="Times New Roman" w:hAnsi="Helvetica" w:cs="Helvetica"/>
          <w:color w:val="777777"/>
          <w:sz w:val="20"/>
          <w:szCs w:val="20"/>
          <w:lang w:val="en-US"/>
        </w:rPr>
        <w:br/>
        <w:t> </w:t>
      </w:r>
      <w:r w:rsidRPr="001E2869">
        <w:rPr>
          <w:rFonts w:ascii="Helvetica" w:eastAsia="Times New Roman" w:hAnsi="Helvetica" w:cs="Helvetica"/>
          <w:color w:val="777777"/>
          <w:sz w:val="20"/>
          <w:szCs w:val="20"/>
          <w:lang w:val="en-US"/>
        </w:rPr>
        <w:br/>
        <w:t>El Departamento podrá además, tomar muestras de cualquier saco de cemento de cada marca que se vende en las ferreterías o cualquier otro negocio donde se venda cemento en sacos.  Por lo menos una vez cada seis (6) meses, en enero y julio de cada año, el Departamento publicará en dos (2) periódicos de circulación general una certificación del cumplimiento con los estánderes en las pruebas realizadas al cemento de cada marca que se vendan en el mercado local.  Esta publicación podrá estar incluida dentro de las publicaciones requeridas en el inciso (c) del Artículo 9 de esta Ley.</w:t>
      </w:r>
    </w:p>
    <w:p w:rsidR="001E2869" w:rsidRPr="001E2869" w:rsidRDefault="001E2869" w:rsidP="001E2869">
      <w:pPr>
        <w:shd w:val="clear" w:color="auto" w:fill="FFFFFF"/>
        <w:spacing w:before="146" w:after="146" w:line="240" w:lineRule="auto"/>
        <w:outlineLvl w:val="3"/>
        <w:rPr>
          <w:rFonts w:ascii="Helvetica" w:eastAsia="Times New Roman" w:hAnsi="Helvetica" w:cs="Helvetica"/>
          <w:color w:val="777777"/>
          <w:sz w:val="24"/>
          <w:szCs w:val="24"/>
          <w:lang w:val="en-US"/>
        </w:rPr>
      </w:pPr>
      <w:r w:rsidRPr="001E2869">
        <w:rPr>
          <w:rFonts w:ascii="Helvetica" w:eastAsia="Times New Roman" w:hAnsi="Helvetica" w:cs="Helvetica"/>
          <w:color w:val="777777"/>
          <w:sz w:val="24"/>
          <w:szCs w:val="24"/>
          <w:lang w:val="en-US"/>
        </w:rPr>
        <w:t>Artículo 9.-Requisitos de Información</w:t>
      </w:r>
    </w:p>
    <w:p w:rsidR="001E2869" w:rsidRPr="001E2869" w:rsidRDefault="001E2869" w:rsidP="001E2869">
      <w:pPr>
        <w:shd w:val="clear" w:color="auto" w:fill="FFFFFF"/>
        <w:spacing w:after="150" w:line="240" w:lineRule="auto"/>
        <w:rPr>
          <w:rFonts w:ascii="Helvetica" w:eastAsia="Times New Roman" w:hAnsi="Helvetica" w:cs="Helvetica"/>
          <w:color w:val="777777"/>
          <w:sz w:val="20"/>
          <w:szCs w:val="20"/>
          <w:lang w:val="en-US"/>
        </w:rPr>
      </w:pPr>
      <w:r w:rsidRPr="001E2869">
        <w:rPr>
          <w:rFonts w:ascii="Helvetica" w:eastAsia="Times New Roman" w:hAnsi="Helvetica" w:cs="Helvetica"/>
          <w:color w:val="777777"/>
          <w:sz w:val="20"/>
          <w:szCs w:val="20"/>
          <w:lang w:val="en-US"/>
        </w:rPr>
        <w:t>Toda persona que manufacture o importe cualquier tipo de cemento habrá de:</w:t>
      </w:r>
      <w:r w:rsidRPr="001E2869">
        <w:rPr>
          <w:rFonts w:ascii="Helvetica" w:eastAsia="Times New Roman" w:hAnsi="Helvetica" w:cs="Helvetica"/>
          <w:color w:val="777777"/>
          <w:sz w:val="20"/>
          <w:szCs w:val="20"/>
          <w:lang w:val="en-US"/>
        </w:rPr>
        <w:br/>
        <w:t> </w:t>
      </w:r>
      <w:r w:rsidRPr="001E2869">
        <w:rPr>
          <w:rFonts w:ascii="Helvetica" w:eastAsia="Times New Roman" w:hAnsi="Helvetica" w:cs="Helvetica"/>
          <w:color w:val="777777"/>
          <w:sz w:val="20"/>
          <w:szCs w:val="20"/>
          <w:lang w:val="en-US"/>
        </w:rPr>
        <w:br/>
      </w:r>
      <w:r w:rsidRPr="001E2869">
        <w:rPr>
          <w:rFonts w:ascii="Helvetica" w:eastAsia="Times New Roman" w:hAnsi="Helvetica" w:cs="Helvetica"/>
          <w:color w:val="777777"/>
          <w:sz w:val="20"/>
          <w:szCs w:val="20"/>
          <w:lang w:val="en-US"/>
        </w:rPr>
        <w:lastRenderedPageBreak/>
        <w:t>a.  Imprimir en cada saco de cemento, en inglés y español, la siguiente información:</w:t>
      </w:r>
      <w:r w:rsidRPr="001E2869">
        <w:rPr>
          <w:rFonts w:ascii="Helvetica" w:eastAsia="Times New Roman" w:hAnsi="Helvetica" w:cs="Helvetica"/>
          <w:color w:val="777777"/>
          <w:sz w:val="20"/>
          <w:szCs w:val="20"/>
          <w:lang w:val="en-US"/>
        </w:rPr>
        <w:br/>
        <w:t> </w:t>
      </w:r>
    </w:p>
    <w:p w:rsidR="001E2869" w:rsidRPr="001E2869" w:rsidRDefault="001E2869" w:rsidP="001E2869">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1E2869">
        <w:rPr>
          <w:rFonts w:ascii="Helvetica" w:eastAsia="Times New Roman" w:hAnsi="Helvetica" w:cs="Helvetica"/>
          <w:color w:val="777777"/>
          <w:sz w:val="20"/>
          <w:szCs w:val="20"/>
          <w:lang w:val="en-US"/>
        </w:rPr>
        <w:t>El tipo de cemento que contiene el saco y que el cemento cumple con los requisitos de calidad establecidos por las especificaciones de la ASTM en su Manual de Estándares, para el tipo de cemento contenido.</w:t>
      </w:r>
    </w:p>
    <w:p w:rsidR="001E2869" w:rsidRPr="001E2869" w:rsidRDefault="001E2869" w:rsidP="001E2869">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1E2869">
        <w:rPr>
          <w:rFonts w:ascii="Helvetica" w:eastAsia="Times New Roman" w:hAnsi="Helvetica" w:cs="Helvetica"/>
          <w:color w:val="777777"/>
          <w:sz w:val="20"/>
          <w:szCs w:val="20"/>
          <w:lang w:val="en-US"/>
        </w:rPr>
        <w:t>El nombre y dirección de la fábrica donde se produjo dicho cemento, y además, en caso de ser importado, el nombre del importador y su domicilio.</w:t>
      </w:r>
    </w:p>
    <w:p w:rsidR="001E2869" w:rsidRPr="001E2869" w:rsidRDefault="001E2869" w:rsidP="001E2869">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1E2869">
        <w:rPr>
          <w:rFonts w:ascii="Helvetica" w:eastAsia="Times New Roman" w:hAnsi="Helvetica" w:cs="Helvetica"/>
          <w:color w:val="777777"/>
          <w:sz w:val="20"/>
          <w:szCs w:val="20"/>
          <w:lang w:val="en-US"/>
        </w:rPr>
        <w:t>La información requerida por el Reglamento PM-6 del Departamento del 15 de enero de 1970, titulado “Reglamento Estableciendo la Forma de Rotular los Paquetes Preempacados y otros Productos de Uso y Consumo” o cualquier otro reglamento de rotulación que le sea aplicable.</w:t>
      </w:r>
    </w:p>
    <w:p w:rsidR="001E2869" w:rsidRPr="001E2869" w:rsidRDefault="001E2869" w:rsidP="001E2869">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1E2869">
        <w:rPr>
          <w:rFonts w:ascii="Helvetica" w:eastAsia="Times New Roman" w:hAnsi="Helvetica" w:cs="Helvetica"/>
          <w:color w:val="777777"/>
          <w:sz w:val="20"/>
          <w:szCs w:val="20"/>
          <w:lang w:val="en-US"/>
        </w:rPr>
        <w:t>En el caso de los cementos manufacturados fuera de los Estados Unidos de América o de Puerto Rico, se incluirá una advertencia de que conforme a las leyes federales (41 U.S.C. sec. 10a et.seq.) y de Puerto Rico (Ley Número 109 de 12 de julio de 1985) el cemento no podrá utilizarse en obras de construcción del Gobierno de los Estados Unidos y de Puerto Rico, ni en obras financiadas con fondos de dichos gobiernos, excepto en los casos, específicamente, provistos por las referidas leyes.</w:t>
      </w:r>
    </w:p>
    <w:p w:rsidR="001E2869" w:rsidRPr="001E2869" w:rsidRDefault="001E2869" w:rsidP="001E2869">
      <w:pPr>
        <w:shd w:val="clear" w:color="auto" w:fill="FFFFFF"/>
        <w:spacing w:after="150" w:line="240" w:lineRule="auto"/>
        <w:rPr>
          <w:rFonts w:ascii="Helvetica" w:eastAsia="Times New Roman" w:hAnsi="Helvetica" w:cs="Helvetica"/>
          <w:color w:val="777777"/>
          <w:sz w:val="20"/>
          <w:szCs w:val="20"/>
          <w:lang w:val="en-US"/>
        </w:rPr>
      </w:pPr>
      <w:r w:rsidRPr="001E2869">
        <w:rPr>
          <w:rFonts w:ascii="Helvetica" w:eastAsia="Times New Roman" w:hAnsi="Helvetica" w:cs="Helvetica"/>
          <w:color w:val="777777"/>
          <w:sz w:val="20"/>
          <w:szCs w:val="20"/>
          <w:lang w:val="en-US"/>
        </w:rPr>
        <w:t>b. No distribuir ni vender en Puerto Rico ningún saco de cemento que no esté rotulado, conforme a lo dispuesto en este Artículo, así como llenar un saco de cemento con cemento proveniente de más de un manufacturero.</w:t>
      </w:r>
      <w:r w:rsidRPr="001E2869">
        <w:rPr>
          <w:rFonts w:ascii="Helvetica" w:eastAsia="Times New Roman" w:hAnsi="Helvetica" w:cs="Helvetica"/>
          <w:color w:val="777777"/>
          <w:sz w:val="20"/>
          <w:szCs w:val="20"/>
          <w:lang w:val="en-US"/>
        </w:rPr>
        <w:br/>
        <w:t> </w:t>
      </w:r>
      <w:r w:rsidRPr="001E2869">
        <w:rPr>
          <w:rFonts w:ascii="Helvetica" w:eastAsia="Times New Roman" w:hAnsi="Helvetica" w:cs="Helvetica"/>
          <w:color w:val="777777"/>
          <w:sz w:val="20"/>
          <w:szCs w:val="20"/>
          <w:lang w:val="en-US"/>
        </w:rPr>
        <w:br/>
        <w:t>c.  Preparar e imprimir para su divulgación en dos periódicos de amplia circulación en Puerto Rico, cada seis (6) meses, literatura para cada tipo de cemento que fabrica o importa conteniendo información, sobre:</w:t>
      </w:r>
      <w:r w:rsidRPr="001E2869">
        <w:rPr>
          <w:rFonts w:ascii="Helvetica" w:eastAsia="Times New Roman" w:hAnsi="Helvetica" w:cs="Helvetica"/>
          <w:color w:val="777777"/>
          <w:sz w:val="20"/>
          <w:szCs w:val="20"/>
          <w:lang w:val="en-US"/>
        </w:rPr>
        <w:br/>
        <w:t> </w:t>
      </w:r>
      <w:r w:rsidRPr="001E2869">
        <w:rPr>
          <w:rFonts w:ascii="Helvetica" w:eastAsia="Times New Roman" w:hAnsi="Helvetica" w:cs="Helvetica"/>
          <w:color w:val="777777"/>
          <w:sz w:val="20"/>
          <w:szCs w:val="20"/>
          <w:lang w:val="en-US"/>
        </w:rPr>
        <w:br/>
        <w:t>(i)   Características y propiedades del cemento.</w:t>
      </w:r>
      <w:r w:rsidRPr="001E2869">
        <w:rPr>
          <w:rFonts w:ascii="Helvetica" w:eastAsia="Times New Roman" w:hAnsi="Helvetica" w:cs="Helvetica"/>
          <w:color w:val="777777"/>
          <w:sz w:val="20"/>
          <w:szCs w:val="20"/>
          <w:lang w:val="en-US"/>
        </w:rPr>
        <w:br/>
        <w:t> </w:t>
      </w:r>
      <w:r w:rsidRPr="001E2869">
        <w:rPr>
          <w:rFonts w:ascii="Helvetica" w:eastAsia="Times New Roman" w:hAnsi="Helvetica" w:cs="Helvetica"/>
          <w:color w:val="777777"/>
          <w:sz w:val="20"/>
          <w:szCs w:val="20"/>
          <w:lang w:val="en-US"/>
        </w:rPr>
        <w:br/>
        <w:t>(ii)   Recomendaciones de almacenaje.</w:t>
      </w:r>
      <w:r w:rsidRPr="001E2869">
        <w:rPr>
          <w:rFonts w:ascii="Helvetica" w:eastAsia="Times New Roman" w:hAnsi="Helvetica" w:cs="Helvetica"/>
          <w:color w:val="777777"/>
          <w:sz w:val="20"/>
          <w:szCs w:val="20"/>
          <w:lang w:val="en-US"/>
        </w:rPr>
        <w:br/>
        <w:t> </w:t>
      </w:r>
      <w:r w:rsidRPr="001E2869">
        <w:rPr>
          <w:rFonts w:ascii="Helvetica" w:eastAsia="Times New Roman" w:hAnsi="Helvetica" w:cs="Helvetica"/>
          <w:color w:val="777777"/>
          <w:sz w:val="20"/>
          <w:szCs w:val="20"/>
          <w:lang w:val="en-US"/>
        </w:rPr>
        <w:br/>
        <w:t>(iii)   Advertencias necesarias para evitar reacciones ácido-alcalinas al utilizar el cemento.</w:t>
      </w:r>
    </w:p>
    <w:p w:rsidR="001E2869" w:rsidRPr="001E2869" w:rsidRDefault="001E2869" w:rsidP="001E2869">
      <w:pPr>
        <w:shd w:val="clear" w:color="auto" w:fill="FFFFFF"/>
        <w:spacing w:before="146" w:after="146" w:line="240" w:lineRule="auto"/>
        <w:outlineLvl w:val="3"/>
        <w:rPr>
          <w:rFonts w:ascii="Helvetica" w:eastAsia="Times New Roman" w:hAnsi="Helvetica" w:cs="Helvetica"/>
          <w:color w:val="777777"/>
          <w:sz w:val="24"/>
          <w:szCs w:val="24"/>
          <w:lang w:val="en-US"/>
        </w:rPr>
      </w:pPr>
      <w:r w:rsidRPr="001E2869">
        <w:rPr>
          <w:rFonts w:ascii="Helvetica" w:eastAsia="Times New Roman" w:hAnsi="Helvetica" w:cs="Helvetica"/>
          <w:color w:val="777777"/>
          <w:sz w:val="24"/>
          <w:szCs w:val="24"/>
          <w:lang w:val="en-US"/>
        </w:rPr>
        <w:t>Artículo 10.-Reglamentación</w:t>
      </w:r>
    </w:p>
    <w:p w:rsidR="001E2869" w:rsidRPr="001E2869" w:rsidRDefault="001E2869" w:rsidP="001E2869">
      <w:pPr>
        <w:shd w:val="clear" w:color="auto" w:fill="FFFFFF"/>
        <w:spacing w:after="150" w:line="240" w:lineRule="auto"/>
        <w:rPr>
          <w:rFonts w:ascii="Helvetica" w:eastAsia="Times New Roman" w:hAnsi="Helvetica" w:cs="Helvetica"/>
          <w:color w:val="777777"/>
          <w:sz w:val="20"/>
          <w:szCs w:val="20"/>
          <w:lang w:val="en-US"/>
        </w:rPr>
      </w:pPr>
      <w:r w:rsidRPr="001E2869">
        <w:rPr>
          <w:rFonts w:ascii="Helvetica" w:eastAsia="Times New Roman" w:hAnsi="Helvetica" w:cs="Helvetica"/>
          <w:color w:val="777777"/>
          <w:sz w:val="20"/>
          <w:szCs w:val="20"/>
          <w:lang w:val="en-US"/>
        </w:rPr>
        <w:t>Se faculta al Secretario a reglamentar todo lo necesario para garantizar el cumplimiento de esta Ley.</w:t>
      </w:r>
    </w:p>
    <w:p w:rsidR="001E2869" w:rsidRPr="001E2869" w:rsidRDefault="001E2869" w:rsidP="001E2869">
      <w:pPr>
        <w:shd w:val="clear" w:color="auto" w:fill="FFFFFF"/>
        <w:spacing w:before="146" w:after="146" w:line="240" w:lineRule="auto"/>
        <w:outlineLvl w:val="3"/>
        <w:rPr>
          <w:rFonts w:ascii="Helvetica" w:eastAsia="Times New Roman" w:hAnsi="Helvetica" w:cs="Helvetica"/>
          <w:color w:val="777777"/>
          <w:sz w:val="24"/>
          <w:szCs w:val="24"/>
          <w:lang w:val="en-US"/>
        </w:rPr>
      </w:pPr>
      <w:r w:rsidRPr="001E2869">
        <w:rPr>
          <w:rFonts w:ascii="Helvetica" w:eastAsia="Times New Roman" w:hAnsi="Helvetica" w:cs="Helvetica"/>
          <w:color w:val="777777"/>
          <w:sz w:val="24"/>
          <w:szCs w:val="24"/>
          <w:lang w:val="en-US"/>
        </w:rPr>
        <w:t>Artículo 11.-Penalidades </w:t>
      </w:r>
    </w:p>
    <w:p w:rsidR="001E2869" w:rsidRPr="001E2869" w:rsidRDefault="001E2869" w:rsidP="001E2869">
      <w:pPr>
        <w:shd w:val="clear" w:color="auto" w:fill="FFFFFF"/>
        <w:spacing w:after="150" w:line="240" w:lineRule="auto"/>
        <w:rPr>
          <w:rFonts w:ascii="Helvetica" w:eastAsia="Times New Roman" w:hAnsi="Helvetica" w:cs="Helvetica"/>
          <w:color w:val="777777"/>
          <w:sz w:val="20"/>
          <w:szCs w:val="20"/>
          <w:lang w:val="en-US"/>
        </w:rPr>
      </w:pPr>
      <w:r w:rsidRPr="001E2869">
        <w:rPr>
          <w:rFonts w:ascii="Helvetica" w:eastAsia="Times New Roman" w:hAnsi="Helvetica" w:cs="Helvetica"/>
          <w:color w:val="777777"/>
          <w:sz w:val="20"/>
          <w:szCs w:val="20"/>
          <w:lang w:val="en-US"/>
        </w:rPr>
        <w:t>Cualquier violación a lo establecido en esta Ley o reglamento, órdenes, o resoluciones emitidas bajo la misma será sancionada con multa no menor de diez mil (10,000) dólares, ni mayor de treinta mil (30,000) dólares, por evento.</w:t>
      </w:r>
    </w:p>
    <w:p w:rsidR="001E2869" w:rsidRPr="001E2869" w:rsidRDefault="001E2869" w:rsidP="001E2869">
      <w:pPr>
        <w:shd w:val="clear" w:color="auto" w:fill="FFFFFF"/>
        <w:spacing w:before="146" w:after="146" w:line="240" w:lineRule="auto"/>
        <w:outlineLvl w:val="3"/>
        <w:rPr>
          <w:rFonts w:ascii="Helvetica" w:eastAsia="Times New Roman" w:hAnsi="Helvetica" w:cs="Helvetica"/>
          <w:color w:val="777777"/>
          <w:sz w:val="24"/>
          <w:szCs w:val="24"/>
          <w:lang w:val="en-US"/>
        </w:rPr>
      </w:pPr>
      <w:r w:rsidRPr="001E2869">
        <w:rPr>
          <w:rFonts w:ascii="Helvetica" w:eastAsia="Times New Roman" w:hAnsi="Helvetica" w:cs="Helvetica"/>
          <w:color w:val="777777"/>
          <w:sz w:val="24"/>
          <w:szCs w:val="24"/>
          <w:lang w:val="en-US"/>
        </w:rPr>
        <w:t>Artículo 12.-Asignación de Fondos</w:t>
      </w:r>
    </w:p>
    <w:p w:rsidR="001E2869" w:rsidRPr="001E2869" w:rsidRDefault="001E2869" w:rsidP="001E2869">
      <w:pPr>
        <w:shd w:val="clear" w:color="auto" w:fill="FFFFFF"/>
        <w:spacing w:after="150" w:line="240" w:lineRule="auto"/>
        <w:rPr>
          <w:rFonts w:ascii="Helvetica" w:eastAsia="Times New Roman" w:hAnsi="Helvetica" w:cs="Helvetica"/>
          <w:color w:val="777777"/>
          <w:sz w:val="20"/>
          <w:szCs w:val="20"/>
          <w:lang w:val="en-US"/>
        </w:rPr>
      </w:pPr>
      <w:r w:rsidRPr="001E2869">
        <w:rPr>
          <w:rFonts w:ascii="Helvetica" w:eastAsia="Times New Roman" w:hAnsi="Helvetica" w:cs="Helvetica"/>
          <w:color w:val="777777"/>
          <w:sz w:val="20"/>
          <w:szCs w:val="20"/>
          <w:lang w:val="en-US"/>
        </w:rPr>
        <w:t>Se consigna en el presupuesto del Departamento de Asuntos del Consumidor, año fiscal 2001-2002, y de forma recurrente, la suma de ciento cincuenta mil (150,000) dólares, para el reclutamiento de inspectores.</w:t>
      </w:r>
    </w:p>
    <w:p w:rsidR="001E2869" w:rsidRPr="001E2869" w:rsidRDefault="001E2869" w:rsidP="001E2869">
      <w:pPr>
        <w:shd w:val="clear" w:color="auto" w:fill="FFFFFF"/>
        <w:spacing w:before="146" w:after="146" w:line="240" w:lineRule="auto"/>
        <w:outlineLvl w:val="3"/>
        <w:rPr>
          <w:rFonts w:ascii="Helvetica" w:eastAsia="Times New Roman" w:hAnsi="Helvetica" w:cs="Helvetica"/>
          <w:color w:val="777777"/>
          <w:sz w:val="24"/>
          <w:szCs w:val="24"/>
          <w:lang w:val="en-US"/>
        </w:rPr>
      </w:pPr>
      <w:r w:rsidRPr="001E2869">
        <w:rPr>
          <w:rFonts w:ascii="Helvetica" w:eastAsia="Times New Roman" w:hAnsi="Helvetica" w:cs="Helvetica"/>
          <w:color w:val="777777"/>
          <w:sz w:val="24"/>
          <w:szCs w:val="24"/>
          <w:lang w:val="en-US"/>
        </w:rPr>
        <w:t>Artículo 13.-Cláusula de Separabilidad</w:t>
      </w:r>
    </w:p>
    <w:p w:rsidR="001E2869" w:rsidRPr="001E2869" w:rsidRDefault="001E2869" w:rsidP="001E2869">
      <w:pPr>
        <w:shd w:val="clear" w:color="auto" w:fill="FFFFFF"/>
        <w:spacing w:after="150" w:line="240" w:lineRule="auto"/>
        <w:rPr>
          <w:rFonts w:ascii="Helvetica" w:eastAsia="Times New Roman" w:hAnsi="Helvetica" w:cs="Helvetica"/>
          <w:color w:val="777777"/>
          <w:sz w:val="20"/>
          <w:szCs w:val="20"/>
          <w:lang w:val="en-US"/>
        </w:rPr>
      </w:pPr>
      <w:r w:rsidRPr="001E2869">
        <w:rPr>
          <w:rFonts w:ascii="Helvetica" w:eastAsia="Times New Roman" w:hAnsi="Helvetica" w:cs="Helvetica"/>
          <w:color w:val="777777"/>
          <w:sz w:val="20"/>
          <w:szCs w:val="20"/>
          <w:lang w:val="en-US"/>
        </w:rPr>
        <w:t>Si parte, artículo, párrafo, inciso o cláusula de esta Ley fuere declarado nulo por cualquier Tribunal con jurisdicción competente, la sentencia dictada a tal efecto no afectará o invalidará el resto de esta Ley, y se limitará a la parte, artículo, párrafo, inciso o cláusula que hubiere sido declarado nulo.</w:t>
      </w:r>
    </w:p>
    <w:p w:rsidR="001E2869" w:rsidRPr="001E2869" w:rsidRDefault="001E2869" w:rsidP="001E2869">
      <w:pPr>
        <w:shd w:val="clear" w:color="auto" w:fill="FFFFFF"/>
        <w:spacing w:before="146" w:after="146" w:line="240" w:lineRule="auto"/>
        <w:outlineLvl w:val="3"/>
        <w:rPr>
          <w:rFonts w:ascii="Helvetica" w:eastAsia="Times New Roman" w:hAnsi="Helvetica" w:cs="Helvetica"/>
          <w:color w:val="777777"/>
          <w:sz w:val="24"/>
          <w:szCs w:val="24"/>
          <w:lang w:val="en-US"/>
        </w:rPr>
      </w:pPr>
      <w:r w:rsidRPr="001E2869">
        <w:rPr>
          <w:rFonts w:ascii="Helvetica" w:eastAsia="Times New Roman" w:hAnsi="Helvetica" w:cs="Helvetica"/>
          <w:color w:val="777777"/>
          <w:sz w:val="24"/>
          <w:szCs w:val="24"/>
          <w:lang w:val="en-US"/>
        </w:rPr>
        <w:t>Artículo 14.-Vigencia </w:t>
      </w:r>
    </w:p>
    <w:p w:rsidR="001E2869" w:rsidRPr="001E2869" w:rsidRDefault="001E2869" w:rsidP="001E2869">
      <w:pPr>
        <w:shd w:val="clear" w:color="auto" w:fill="FFFFFF"/>
        <w:spacing w:after="150" w:line="240" w:lineRule="auto"/>
        <w:rPr>
          <w:rFonts w:ascii="Helvetica" w:eastAsia="Times New Roman" w:hAnsi="Helvetica" w:cs="Helvetica"/>
          <w:color w:val="777777"/>
          <w:sz w:val="20"/>
          <w:szCs w:val="20"/>
          <w:lang w:val="en-US"/>
        </w:rPr>
      </w:pPr>
      <w:r w:rsidRPr="001E2869">
        <w:rPr>
          <w:rFonts w:ascii="Helvetica" w:eastAsia="Times New Roman" w:hAnsi="Helvetica" w:cs="Helvetica"/>
          <w:color w:val="777777"/>
          <w:sz w:val="20"/>
          <w:szCs w:val="20"/>
          <w:lang w:val="en-US"/>
        </w:rPr>
        <w:lastRenderedPageBreak/>
        <w:t>Esta Ley comenzará a regir a los sesenta (60) días después de su aprobación.</w:t>
      </w:r>
    </w:p>
    <w:p w:rsidR="004111EC" w:rsidRDefault="004111EC">
      <w:bookmarkStart w:id="0" w:name="_GoBack"/>
      <w:bookmarkEnd w:id="0"/>
    </w:p>
    <w:sectPr w:rsidR="00411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11007"/>
    <w:multiLevelType w:val="multilevel"/>
    <w:tmpl w:val="290A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69"/>
    <w:rsid w:val="001E2869"/>
    <w:rsid w:val="004111EC"/>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56A56-C922-4628-94D6-C7D9F574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E286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1E2869"/>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1E2869"/>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2869"/>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1E2869"/>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1E2869"/>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1E286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27826">
      <w:bodyDiv w:val="1"/>
      <w:marLeft w:val="0"/>
      <w:marRight w:val="0"/>
      <w:marTop w:val="0"/>
      <w:marBottom w:val="0"/>
      <w:divBdr>
        <w:top w:val="none" w:sz="0" w:space="0" w:color="auto"/>
        <w:left w:val="none" w:sz="0" w:space="0" w:color="auto"/>
        <w:bottom w:val="none" w:sz="0" w:space="0" w:color="auto"/>
        <w:right w:val="none" w:sz="0" w:space="0" w:color="auto"/>
      </w:divBdr>
      <w:divsChild>
        <w:div w:id="1524711394">
          <w:marLeft w:val="0"/>
          <w:marRight w:val="0"/>
          <w:marTop w:val="0"/>
          <w:marBottom w:val="0"/>
          <w:divBdr>
            <w:top w:val="none" w:sz="0" w:space="0" w:color="auto"/>
            <w:left w:val="none" w:sz="0" w:space="0" w:color="auto"/>
            <w:bottom w:val="none" w:sz="0" w:space="0" w:color="auto"/>
            <w:right w:val="none" w:sz="0" w:space="0" w:color="auto"/>
          </w:divBdr>
        </w:div>
        <w:div w:id="1808279376">
          <w:marLeft w:val="0"/>
          <w:marRight w:val="0"/>
          <w:marTop w:val="0"/>
          <w:marBottom w:val="0"/>
          <w:divBdr>
            <w:top w:val="none" w:sz="0" w:space="0" w:color="auto"/>
            <w:left w:val="none" w:sz="0" w:space="0" w:color="auto"/>
            <w:bottom w:val="none" w:sz="0" w:space="0" w:color="auto"/>
            <w:right w:val="none" w:sz="0" w:space="0" w:color="auto"/>
          </w:divBdr>
          <w:divsChild>
            <w:div w:id="18565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1</cp:revision>
  <dcterms:created xsi:type="dcterms:W3CDTF">2018-03-25T00:58:00Z</dcterms:created>
  <dcterms:modified xsi:type="dcterms:W3CDTF">2018-03-25T00:58:00Z</dcterms:modified>
</cp:coreProperties>
</file>